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drawing>
          <wp:inline distT="0" distB="0" distL="0" distR="0">
            <wp:extent cx="2161540" cy="1008380"/>
            <wp:effectExtent l="19050" t="0" r="9525" b="0"/>
            <wp:docPr id="11" name="Inline Text Wrapping Picture" descr="Inline Text Wrapping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nline Text Wrapping Picture" descr="Inline Text Wrapping Picture"/>
                    <pic:cNvPicPr>
                      <a:picLocks noChangeAspect="1"/>
                    </pic:cNvPicPr>
                  </pic:nvPicPr>
                  <pic:blipFill>
                    <a:blip r:embed="rId10"/>
                    <a:stretch>
                      <a:fillRect/>
                    </a:stretch>
                  </pic:blipFill>
                  <pic:spPr>
                    <a:xfrm>
                      <a:off x="0" y="0"/>
                      <a:ext cx="2161641" cy="1008766"/>
                    </a:xfrm>
                    <a:prstGeom prst="rect">
                      <a:avLst/>
                    </a:prstGeom>
                  </pic:spPr>
                </pic:pic>
              </a:graphicData>
            </a:graphic>
          </wp:inline>
        </w:drawing>
      </w:r>
    </w:p>
    <w:p/>
    <w:p/>
    <w:p>
      <w:pPr>
        <w:jc w:val="center"/>
        <w:rPr>
          <w:sz w:val="48"/>
          <w:szCs w:val="48"/>
        </w:rPr>
      </w:pPr>
      <w:r>
        <w:rPr>
          <w:rFonts w:hint="eastAsia" w:ascii="黑体" w:hAnsi="黑体" w:eastAsia="黑体"/>
          <w:sz w:val="48"/>
          <w:szCs w:val="48"/>
        </w:rPr>
        <w:t>硕士研究生学位论文开题报告</w:t>
      </w:r>
    </w:p>
    <w:p/>
    <w:p/>
    <w:p>
      <w:pPr>
        <w:spacing w:before="156" w:beforeLines="50"/>
      </w:pPr>
    </w:p>
    <w:p>
      <w:pPr>
        <w:tabs>
          <w:tab w:val="left" w:pos="5159"/>
        </w:tabs>
        <w:spacing w:before="156" w:beforeLines="50"/>
        <w:ind w:left="2280" w:leftChars="950"/>
        <w:rPr>
          <w:rFonts w:hint="default" w:eastAsia="宋体"/>
          <w:sz w:val="28"/>
          <w:szCs w:val="28"/>
          <w:u w:val="single"/>
          <w:lang w:val="en-US" w:eastAsia="zh-CN"/>
        </w:rPr>
      </w:pPr>
      <w:r>
        <w:rPr>
          <w:rFonts w:hint="eastAsia"/>
          <w:sz w:val="28"/>
          <w:szCs w:val="28"/>
        </w:rPr>
        <w:t>学</w:t>
      </w:r>
      <w:r>
        <w:pict>
          <v:shape id="_x0000_s1026" o:spid="_x0000_s1026" o:spt="32" type="#_x0000_t32" style="position:absolute;left:0pt;margin-left:185.8pt;margin-top:33.3pt;height:0pt;width:147pt;z-index:25165414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">
            <v:path arrowok="t"/>
            <v:fill on="f" focussize="0,0"/>
            <v:stroke/>
            <v:imagedata o:title=""/>
            <o:lock v:ext="edit"/>
          </v:shape>
        </w:pict>
      </w:r>
      <w:r>
        <w:rPr>
          <w:rFonts w:hint="eastAsia"/>
          <w:sz w:val="28"/>
          <w:szCs w:val="28"/>
        </w:rPr>
        <w:t>号</w:t>
      </w:r>
      <w:r>
        <w:rPr>
          <w:sz w:val="28"/>
          <w:szCs w:val="28"/>
        </w:rPr>
        <w:t xml:space="preserve">:         </w:t>
      </w:r>
      <w:r>
        <w:rPr>
          <w:rFonts w:hint="eastAsia"/>
          <w:sz w:val="28"/>
          <w:szCs w:val="28"/>
          <w:lang w:val="en-US" w:eastAsia="zh-CN"/>
        </w:rPr>
        <w:t>22019213045</w:t>
      </w:r>
      <w:r>
        <w:rPr>
          <w:rFonts w:hint="eastAsia"/>
          <w:sz w:val="28"/>
          <w:szCs w:val="28"/>
          <w:lang w:eastAsia="zh-CN"/>
        </w:rPr>
        <w:tab/>
      </w:r>
    </w:p>
    <w:p>
      <w:pPr>
        <w:spacing w:before="156" w:beforeLines="50"/>
        <w:ind w:left="2280" w:leftChars="950"/>
        <w:rPr>
          <w:rFonts w:hint="eastAsia" w:eastAsia="宋体"/>
          <w:sz w:val="28"/>
          <w:szCs w:val="28"/>
          <w:lang w:val="en-US" w:eastAsia="zh-CN"/>
        </w:rPr>
      </w:pPr>
      <w:r>
        <w:rPr>
          <w:rFonts w:hint="eastAsia"/>
          <w:sz w:val="28"/>
          <w:szCs w:val="28"/>
        </w:rPr>
        <w:t>姓名</w:t>
      </w:r>
      <w:r>
        <w:pict>
          <v:shape id="自选图形 3" o:spid="_x0000_s1034" o:spt="32" type="#_x0000_t32" style="position:absolute;left:0pt;margin-left:186.15pt;margin-top:33.25pt;height:0pt;width:147pt;z-index:25165516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">
            <v:path arrowok="t"/>
            <v:fill on="f" focussize="0,0"/>
            <v:stroke/>
            <v:imagedata o:title=""/>
            <o:lock v:ext="edit"/>
          </v:shape>
        </w:pict>
      </w:r>
      <w:r>
        <w:rPr>
          <w:sz w:val="28"/>
          <w:szCs w:val="28"/>
        </w:rPr>
        <w:t xml:space="preserve">:         </w:t>
      </w:r>
      <w:r>
        <w:rPr>
          <w:rFonts w:hint="eastAsia"/>
          <w:sz w:val="28"/>
          <w:szCs w:val="28"/>
          <w:lang w:val="en-US" w:eastAsia="zh-CN"/>
        </w:rPr>
        <w:t>高美凤</w:t>
      </w:r>
    </w:p>
    <w:p>
      <w:pPr>
        <w:spacing w:before="156" w:beforeLines="50"/>
        <w:ind w:left="2280" w:leftChars="950"/>
        <w:rPr>
          <w:sz w:val="28"/>
          <w:szCs w:val="28"/>
        </w:rPr>
      </w:pPr>
      <w:r>
        <w:rPr>
          <w:rFonts w:hint="eastAsia"/>
          <w:sz w:val="28"/>
          <w:szCs w:val="28"/>
        </w:rPr>
        <w:t>学院</w:t>
      </w:r>
      <w:r>
        <w:pict>
          <v:shape id="自选图形 4" o:spid="_x0000_s1033" o:spt="32" type="#_x0000_t32" style="position:absolute;left:0pt;margin-left:186pt;margin-top:33.25pt;height:0pt;width:147pt;z-index:251658240;mso-width-relative:page;mso-height-relative:page;" filled="f" coordsize="21600,21600">
            <v:path arrowok="t"/>
            <v:fill on="f" focussize="0,0"/>
            <v:stroke/>
            <v:imagedata o:title=""/>
            <o:lock v:ext="edit"/>
          </v:shape>
        </w:pict>
      </w:r>
      <w:r>
        <w:rPr>
          <w:sz w:val="28"/>
          <w:szCs w:val="28"/>
        </w:rPr>
        <w:t xml:space="preserve">:         </w:t>
      </w:r>
      <w:r>
        <w:rPr>
          <w:rFonts w:hint="eastAsia"/>
          <w:sz w:val="28"/>
          <w:szCs w:val="28"/>
          <w:lang w:val="en-US" w:eastAsia="zh-CN"/>
        </w:rPr>
        <w:t>外国语学院</w:t>
      </w:r>
      <w:r>
        <w:rPr>
          <w:sz w:val="28"/>
          <w:szCs w:val="28"/>
        </w:rPr>
        <w:t xml:space="preserve">   </w:t>
      </w:r>
    </w:p>
    <w:p>
      <w:pPr>
        <w:spacing w:before="156" w:beforeLines="50"/>
        <w:ind w:left="2280" w:leftChars="950"/>
        <w:rPr>
          <w:sz w:val="28"/>
          <w:szCs w:val="28"/>
        </w:rPr>
      </w:pPr>
      <w:r>
        <w:rPr>
          <w:rFonts w:hint="eastAsia"/>
          <w:sz w:val="28"/>
          <w:szCs w:val="28"/>
        </w:rPr>
        <w:t>专业</w:t>
      </w:r>
      <w:r>
        <w:rPr>
          <w:sz w:val="28"/>
          <w:szCs w:val="28"/>
        </w:rPr>
        <w:t>(</w:t>
      </w:r>
      <w:r>
        <w:rPr>
          <w:rFonts w:hint="eastAsia"/>
          <w:sz w:val="28"/>
          <w:szCs w:val="28"/>
        </w:rPr>
        <w:t>领域</w:t>
      </w:r>
      <w:r>
        <w:rPr>
          <w:sz w:val="28"/>
          <w:szCs w:val="28"/>
        </w:rPr>
        <w:t>)</w:t>
      </w:r>
      <w:r>
        <w:rPr>
          <w:sz w:val="28"/>
          <w:szCs w:val="28"/>
        </w:rPr>
        <w:pict>
          <v:shape id="自选图形 5" o:spid="_x0000_s1032" o:spt="32" type="#_x0000_t32" style="position:absolute;left:0pt;margin-left:186.25pt;margin-top:33.3pt;height:0pt;width:147pt;z-index:251656192;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">
            <v:path arrowok="t"/>
            <v:fill on="f" focussize="0,0"/>
            <v:stroke/>
            <v:imagedata o:title=""/>
            <o:lock v:ext="edit"/>
          </v:shape>
        </w:pict>
      </w:r>
      <w:r>
        <w:rPr>
          <w:sz w:val="28"/>
          <w:szCs w:val="28"/>
        </w:rPr>
        <w:t xml:space="preserve">:   </w:t>
      </w:r>
      <w:r>
        <w:rPr>
          <w:rFonts w:hint="eastAsia"/>
          <w:sz w:val="28"/>
          <w:szCs w:val="28"/>
          <w:lang w:val="en-US" w:eastAsia="zh-CN"/>
        </w:rPr>
        <w:t>口译</w:t>
      </w:r>
      <w:r>
        <w:rPr>
          <w:sz w:val="28"/>
          <w:szCs w:val="28"/>
        </w:rPr>
        <w:t xml:space="preserve">   </w:t>
      </w:r>
    </w:p>
    <w:p>
      <w:pPr>
        <w:spacing w:before="156" w:beforeLines="50"/>
        <w:ind w:left="2280" w:leftChars="950"/>
        <w:rPr>
          <w:rFonts w:hint="default" w:eastAsia="宋体"/>
          <w:sz w:val="28"/>
          <w:szCs w:val="28"/>
          <w:lang w:val="en-US" w:eastAsia="zh-CN"/>
        </w:rPr>
      </w:pPr>
      <w:r>
        <w:pict>
          <v:shape id="自选图形 6" o:spid="_x0000_s1031" o:spt="32" type="#_x0000_t32" style="position:absolute;left:0pt;margin-left:186.6pt;margin-top:33.15pt;height:0pt;width:147pt;z-index:251657216;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">
            <v:path arrowok="t"/>
            <v:fill on="f" focussize="0,0"/>
            <v:stroke/>
            <v:imagedata o:title=""/>
            <o:lock v:ext="edit"/>
          </v:shape>
        </w:pict>
      </w:r>
      <w:r>
        <w:rPr>
          <w:rFonts w:hint="eastAsia"/>
          <w:sz w:val="28"/>
          <w:szCs w:val="28"/>
        </w:rPr>
        <w:t>研究方向</w:t>
      </w:r>
      <w:r>
        <w:rPr>
          <w:sz w:val="28"/>
          <w:szCs w:val="28"/>
        </w:rPr>
        <w:t xml:space="preserve">:    </w:t>
      </w:r>
      <w:r>
        <w:rPr>
          <w:rFonts w:hint="eastAsia"/>
          <w:sz w:val="28"/>
          <w:szCs w:val="28"/>
          <w:lang w:val="en-US" w:eastAsia="zh-CN"/>
        </w:rPr>
        <w:t xml:space="preserve"> 翻译</w:t>
      </w:r>
    </w:p>
    <w:p>
      <w:pPr>
        <w:tabs>
          <w:tab w:val="left" w:pos="3450"/>
        </w:tabs>
        <w:spacing w:before="156" w:beforeLines="50"/>
        <w:ind w:left="2280" w:leftChars="950"/>
        <w:rPr>
          <w:szCs w:val="21"/>
        </w:rPr>
      </w:pPr>
      <w:r>
        <w:rPr>
          <w:rFonts w:hint="eastAsia"/>
          <w:sz w:val="28"/>
          <w:szCs w:val="28"/>
        </w:rPr>
        <w:t>导师姓名</w:t>
      </w:r>
      <w:r>
        <w:pict>
          <v:shape id="自选图形 7" o:spid="_x0000_s1030" o:spt="32" type="#_x0000_t32" style="position:absolute;left:0pt;margin-left:185.75pt;margin-top:34pt;height:0pt;width:147.75pt;z-index:251658240;mso-width-relative:page;mso-height-relative:page;" filled="f" coordsize="21600,21600">
            <v:path arrowok="t"/>
            <v:fill on="f" focussize="0,0"/>
            <v:stroke/>
            <v:imagedata o:title=""/>
            <o:lock v:ext="edit"/>
          </v:shape>
        </w:pict>
      </w:r>
      <w:r>
        <w:rPr>
          <w:sz w:val="28"/>
          <w:szCs w:val="28"/>
        </w:rPr>
        <w:t xml:space="preserve">:     </w:t>
      </w:r>
      <w:r>
        <w:rPr>
          <w:rFonts w:hint="eastAsia"/>
          <w:sz w:val="28"/>
          <w:szCs w:val="28"/>
          <w:lang w:val="en-US" w:eastAsia="zh-CN"/>
        </w:rPr>
        <w:t>吴瑾瑾</w:t>
      </w:r>
      <w:r>
        <w:rPr>
          <w:sz w:val="28"/>
          <w:szCs w:val="28"/>
        </w:rPr>
        <w:t xml:space="preserve"> </w:t>
      </w:r>
    </w:p>
    <w:p>
      <w:pPr>
        <w:jc w:val="center"/>
      </w:pPr>
    </w:p>
    <w:p/>
    <w:p/>
    <w:p>
      <w:pPr>
        <w:jc w:val="center"/>
        <w:rPr>
          <w:rFonts w:ascii="华文楷体" w:hAnsi="华文楷体" w:eastAsia="华文楷体"/>
          <w:sz w:val="30"/>
          <w:szCs w:val="30"/>
        </w:rPr>
      </w:pPr>
      <w:r>
        <w:rPr>
          <w:rFonts w:ascii="华文楷体" w:hAnsi="华文楷体" w:eastAsia="华文楷体"/>
          <w:sz w:val="30"/>
          <w:szCs w:val="30"/>
        </w:rPr>
        <w:t>首都经济贸易大学</w:t>
      </w:r>
    </w:p>
    <w:p>
      <w:pPr>
        <w:jc w:val="center"/>
        <w:rPr>
          <w:sz w:val="28"/>
          <w:szCs w:val="28"/>
        </w:rPr>
      </w:pPr>
      <w:r>
        <w:rPr>
          <w:sz w:val="28"/>
          <w:szCs w:val="28"/>
        </w:rPr>
        <w:t>20</w:t>
      </w:r>
      <w:r>
        <w:rPr>
          <w:rFonts w:hint="eastAsia"/>
          <w:sz w:val="28"/>
          <w:szCs w:val="28"/>
          <w:lang w:val="en-US" w:eastAsia="zh-CN"/>
        </w:rPr>
        <w:t>20</w:t>
      </w:r>
      <w:r>
        <w:rPr>
          <w:sz w:val="28"/>
          <w:szCs w:val="28"/>
        </w:rPr>
        <w:t>年</w:t>
      </w:r>
      <w:r>
        <w:rPr>
          <w:rFonts w:hint="eastAsia"/>
          <w:sz w:val="28"/>
          <w:szCs w:val="28"/>
          <w:lang w:val="en-US" w:eastAsia="zh-CN"/>
        </w:rPr>
        <w:t>7</w:t>
      </w:r>
      <w:r>
        <w:rPr>
          <w:sz w:val="28"/>
          <w:szCs w:val="28"/>
        </w:rPr>
        <w:t>月</w:t>
      </w:r>
      <w:r>
        <w:rPr>
          <w:rFonts w:hint="eastAsia"/>
          <w:sz w:val="28"/>
          <w:szCs w:val="28"/>
          <w:lang w:val="en-US" w:eastAsia="zh-CN"/>
        </w:rPr>
        <w:t>9</w:t>
      </w:r>
      <w:r>
        <w:rPr>
          <w:sz w:val="28"/>
          <w:szCs w:val="28"/>
        </w:rPr>
        <w:t>日</w:t>
      </w:r>
    </w:p>
    <w:p>
      <w:pPr>
        <w:jc w:val="center"/>
        <w:rPr>
          <w:sz w:val="28"/>
          <w:szCs w:val="28"/>
        </w:rPr>
        <w:sectPr>
          <w:headerReference r:id="rId3" w:type="default"/>
          <w:footerReference r:id="rId5" w:type="default"/>
          <w:headerReference r:id="rId4" w:type="even"/>
          <w:footerReference r:id="rId6" w:type="even"/>
          <w:type w:val="continuous"/>
          <w:pgSz w:w="11906" w:h="16838"/>
          <w:pgMar w:top="1440" w:right="851" w:bottom="1440" w:left="1418" w:header="850" w:footer="567" w:gutter="0"/>
          <w:pgNumType w:fmt="numberInDash" w:start="1"/>
          <w:cols w:space="425" w:num="1"/>
          <w:titlePg/>
          <w:docGrid w:type="lines" w:linePitch="312" w:charSpace="0"/>
        </w:sectPr>
      </w:pPr>
    </w:p>
    <w:p>
      <w:pPr>
        <w:spacing w:line="120" w:lineRule="exact"/>
        <w:jc w:val="center"/>
        <w:rPr>
          <w:sz w:val="28"/>
          <w:szCs w:val="28"/>
        </w:rPr>
      </w:pPr>
    </w:p>
    <w:tbl>
      <w:tblPr>
        <w:tblStyle w:val="10"/>
        <w:tblW w:w="9692" w:type="dxa"/>
        <w:jc w:val="center"/>
        <w:tblBorders>
          <w:top w:val="none" w:color="auto" w:sz="0"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 w:type="dxa"/>
          <w:bottom w:w="0" w:type="dxa"/>
          <w:right w:w="10" w:type="dxa"/>
        </w:tblCellMar>
      </w:tblPr>
      <w:tblGrid>
        <w:gridCol w:w="103"/>
        <w:gridCol w:w="1625"/>
        <w:gridCol w:w="3146"/>
        <w:gridCol w:w="2407"/>
        <w:gridCol w:w="2324"/>
        <w:gridCol w:w="87"/>
      </w:tblGrid>
      <w:tr>
        <w:tblPrEx>
          <w:tblBorders>
            <w:top w:val="none" w:color="auto" w:sz="0"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gridAfter w:val="1"/>
          <w:wAfter w:w="87" w:type="dxa"/>
          <w:trHeight w:val="465" w:hRule="atLeast"/>
          <w:jc w:val="center"/>
        </w:trPr>
        <w:tc>
          <w:tcPr>
            <w:tcW w:w="1728" w:type="dxa"/>
            <w:gridSpan w:val="2"/>
            <w:tcBorders>
              <w:top w:val="single" w:color="auto" w:sz="12" w:space="0"/>
              <w:left w:val="single" w:color="auto" w:sz="12" w:space="0"/>
            </w:tcBorders>
            <w:tcMar>
              <w:left w:w="113" w:type="dxa"/>
              <w:right w:w="113" w:type="dxa"/>
            </w:tcMar>
            <w:vAlign w:val="center"/>
          </w:tcPr>
          <w:p>
            <w:pPr>
              <w:jc w:val="center"/>
              <w:rPr>
                <w:sz w:val="21"/>
                <w:szCs w:val="21"/>
              </w:rPr>
            </w:pPr>
            <w:r>
              <w:rPr>
                <w:sz w:val="21"/>
                <w:szCs w:val="21"/>
              </w:rPr>
              <w:br w:type="page"/>
            </w:r>
            <w:r>
              <w:rPr>
                <w:rFonts w:hint="eastAsia"/>
                <w:sz w:val="21"/>
                <w:szCs w:val="21"/>
              </w:rPr>
              <w:t>论文题目</w:t>
            </w:r>
          </w:p>
        </w:tc>
        <w:tc>
          <w:tcPr>
            <w:tcW w:w="7877" w:type="dxa"/>
            <w:gridSpan w:val="3"/>
            <w:tcBorders>
              <w:top w:val="single" w:color="auto" w:sz="12" w:space="0"/>
              <w:right w:val="single" w:color="auto" w:sz="12" w:space="0"/>
            </w:tcBorders>
            <w:tcMar>
              <w:left w:w="113" w:type="dxa"/>
              <w:right w:w="113" w:type="dxa"/>
            </w:tcMar>
            <w:vAlign w:val="center"/>
          </w:tcPr>
          <w:p>
            <w:pPr>
              <w:rPr>
                <w:sz w:val="21"/>
                <w:szCs w:val="21"/>
              </w:rPr>
            </w:pPr>
            <w:r>
              <w:rPr>
                <w:rFonts w:hint="eastAsia"/>
                <w:sz w:val="21"/>
                <w:szCs w:val="21"/>
                <w:lang w:val="en-US" w:eastAsia="zh-CN"/>
              </w:rPr>
              <w:t>“世界是否准备迎接无人机运输”网络研讨会模拟英汉交传实践报告</w:t>
            </w:r>
          </w:p>
        </w:tc>
      </w:tr>
      <w:tr>
        <w:tblPrEx>
          <w:tblBorders>
            <w:top w:val="none" w:color="auto" w:sz="0"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gridAfter w:val="1"/>
          <w:wAfter w:w="87" w:type="dxa"/>
          <w:trHeight w:val="465" w:hRule="atLeast"/>
          <w:jc w:val="center"/>
        </w:trPr>
        <w:tc>
          <w:tcPr>
            <w:tcW w:w="1728" w:type="dxa"/>
            <w:gridSpan w:val="2"/>
            <w:tcBorders>
              <w:left w:val="single" w:color="auto" w:sz="12" w:space="0"/>
            </w:tcBorders>
            <w:tcMar>
              <w:left w:w="113" w:type="dxa"/>
              <w:right w:w="113" w:type="dxa"/>
            </w:tcMar>
            <w:vAlign w:val="center"/>
          </w:tcPr>
          <w:p>
            <w:pPr>
              <w:jc w:val="center"/>
              <w:rPr>
                <w:sz w:val="21"/>
                <w:szCs w:val="21"/>
              </w:rPr>
            </w:pPr>
            <w:r>
              <w:rPr>
                <w:rFonts w:hint="eastAsia"/>
                <w:sz w:val="21"/>
                <w:szCs w:val="21"/>
              </w:rPr>
              <w:t>选题来源</w:t>
            </w:r>
          </w:p>
        </w:tc>
        <w:tc>
          <w:tcPr>
            <w:tcW w:w="3146" w:type="dxa"/>
            <w:tcMar>
              <w:left w:w="113" w:type="dxa"/>
              <w:right w:w="113" w:type="dxa"/>
            </w:tcMar>
            <w:vAlign w:val="center"/>
          </w:tcPr>
          <w:p>
            <w:pPr>
              <w:rPr>
                <w:rFonts w:hint="default" w:eastAsia="宋体"/>
                <w:sz w:val="21"/>
                <w:szCs w:val="21"/>
                <w:lang w:val="en-US" w:eastAsia="zh-CN"/>
              </w:rPr>
            </w:pPr>
            <w:r>
              <w:rPr>
                <w:rFonts w:hint="eastAsia"/>
                <w:sz w:val="21"/>
                <w:szCs w:val="21"/>
                <w:lang w:val="en-US" w:eastAsia="zh-CN"/>
              </w:rPr>
              <w:t>自选</w:t>
            </w:r>
          </w:p>
        </w:tc>
        <w:tc>
          <w:tcPr>
            <w:tcW w:w="2407" w:type="dxa"/>
            <w:tcMar>
              <w:left w:w="113" w:type="dxa"/>
              <w:right w:w="113" w:type="dxa"/>
            </w:tcMar>
            <w:vAlign w:val="center"/>
          </w:tcPr>
          <w:p>
            <w:pPr>
              <w:jc w:val="center"/>
              <w:rPr>
                <w:sz w:val="21"/>
                <w:szCs w:val="21"/>
              </w:rPr>
            </w:pPr>
            <w:r>
              <w:rPr>
                <w:rFonts w:hint="eastAsia"/>
                <w:sz w:val="21"/>
                <w:szCs w:val="21"/>
              </w:rPr>
              <w:t>论文类型</w:t>
            </w:r>
          </w:p>
        </w:tc>
        <w:tc>
          <w:tcPr>
            <w:tcW w:w="2324" w:type="dxa"/>
            <w:tcBorders>
              <w:right w:val="single" w:color="auto" w:sz="12" w:space="0"/>
            </w:tcBorders>
            <w:tcMar>
              <w:left w:w="113" w:type="dxa"/>
              <w:right w:w="113" w:type="dxa"/>
            </w:tcMar>
            <w:vAlign w:val="center"/>
          </w:tcPr>
          <w:p>
            <w:pPr>
              <w:rPr>
                <w:rFonts w:hint="eastAsia" w:eastAsia="宋体"/>
                <w:sz w:val="21"/>
                <w:szCs w:val="21"/>
                <w:lang w:val="en-US" w:eastAsia="zh-CN"/>
              </w:rPr>
            </w:pPr>
            <w:r>
              <w:rPr>
                <w:rFonts w:hint="eastAsia"/>
                <w:sz w:val="21"/>
                <w:szCs w:val="21"/>
                <w:lang w:val="en-US" w:eastAsia="zh-CN"/>
              </w:rPr>
              <w:t>实践报告</w:t>
            </w:r>
          </w:p>
        </w:tc>
      </w:tr>
      <w:tr>
        <w:tblPrEx>
          <w:tblBorders>
            <w:top w:val="none" w:color="auto" w:sz="0"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gridAfter w:val="1"/>
          <w:wAfter w:w="87" w:type="dxa"/>
          <w:trHeight w:val="465" w:hRule="atLeast"/>
          <w:jc w:val="center"/>
        </w:trPr>
        <w:tc>
          <w:tcPr>
            <w:tcW w:w="1728" w:type="dxa"/>
            <w:gridSpan w:val="2"/>
            <w:tcBorders>
              <w:left w:val="single" w:color="auto" w:sz="12" w:space="0"/>
            </w:tcBorders>
            <w:tcMar>
              <w:left w:w="113" w:type="dxa"/>
              <w:right w:w="113" w:type="dxa"/>
            </w:tcMar>
            <w:vAlign w:val="center"/>
          </w:tcPr>
          <w:p>
            <w:pPr>
              <w:jc w:val="center"/>
              <w:rPr>
                <w:sz w:val="21"/>
                <w:szCs w:val="21"/>
              </w:rPr>
            </w:pPr>
            <w:r>
              <w:rPr>
                <w:rFonts w:hint="eastAsia"/>
                <w:sz w:val="21"/>
                <w:szCs w:val="21"/>
              </w:rPr>
              <w:t>开题日期</w:t>
            </w:r>
          </w:p>
        </w:tc>
        <w:tc>
          <w:tcPr>
            <w:tcW w:w="3146" w:type="dxa"/>
            <w:tcMar>
              <w:left w:w="113" w:type="dxa"/>
              <w:right w:w="113" w:type="dxa"/>
            </w:tcMar>
            <w:vAlign w:val="center"/>
          </w:tcPr>
          <w:p>
            <w:pPr>
              <w:rPr>
                <w:rFonts w:hint="default" w:eastAsia="宋体"/>
                <w:sz w:val="21"/>
                <w:szCs w:val="21"/>
                <w:lang w:val="en-US" w:eastAsia="zh-CN"/>
              </w:rPr>
            </w:pPr>
            <w:r>
              <w:rPr>
                <w:rFonts w:hint="eastAsia"/>
                <w:sz w:val="21"/>
                <w:szCs w:val="21"/>
                <w:lang w:val="en-US" w:eastAsia="zh-CN"/>
              </w:rPr>
              <w:t>2020.07.09</w:t>
            </w:r>
          </w:p>
        </w:tc>
        <w:tc>
          <w:tcPr>
            <w:tcW w:w="2407" w:type="dxa"/>
            <w:tcMar>
              <w:left w:w="113" w:type="dxa"/>
              <w:right w:w="113" w:type="dxa"/>
            </w:tcMar>
            <w:vAlign w:val="center"/>
          </w:tcPr>
          <w:p>
            <w:pPr>
              <w:jc w:val="center"/>
              <w:rPr>
                <w:sz w:val="21"/>
                <w:szCs w:val="21"/>
              </w:rPr>
            </w:pPr>
            <w:r>
              <w:rPr>
                <w:rFonts w:hint="eastAsia"/>
                <w:sz w:val="21"/>
                <w:szCs w:val="21"/>
              </w:rPr>
              <w:t>涉密</w:t>
            </w:r>
          </w:p>
        </w:tc>
        <w:tc>
          <w:tcPr>
            <w:tcW w:w="2324" w:type="dxa"/>
            <w:tcBorders>
              <w:right w:val="single" w:color="auto" w:sz="12" w:space="0"/>
            </w:tcBorders>
            <w:tcMar>
              <w:left w:w="113" w:type="dxa"/>
              <w:right w:w="113" w:type="dxa"/>
            </w:tcMar>
            <w:vAlign w:val="center"/>
          </w:tcPr>
          <w:p>
            <w:pPr>
              <w:rPr>
                <w:rFonts w:hint="default" w:eastAsia="宋体"/>
                <w:sz w:val="21"/>
                <w:szCs w:val="21"/>
                <w:lang w:val="en-US" w:eastAsia="zh-CN"/>
              </w:rPr>
            </w:pPr>
            <w:r>
              <w:rPr>
                <w:rFonts w:hint="eastAsia"/>
                <w:sz w:val="21"/>
                <w:szCs w:val="21"/>
                <w:lang w:val="en-US" w:eastAsia="zh-CN"/>
              </w:rPr>
              <w:t>否</w:t>
            </w:r>
          </w:p>
        </w:tc>
      </w:tr>
      <w:tr>
        <w:tblPrEx>
          <w:tblBorders>
            <w:top w:val="none" w:color="auto" w:sz="0"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gridAfter w:val="1"/>
          <w:wAfter w:w="87" w:type="dxa"/>
          <w:trHeight w:val="9628" w:hRule="atLeast"/>
          <w:jc w:val="center"/>
        </w:trPr>
        <w:tc>
          <w:tcPr>
            <w:tcW w:w="9605" w:type="dxa"/>
            <w:gridSpan w:val="5"/>
            <w:tcBorders>
              <w:left w:val="single" w:color="auto" w:sz="12" w:space="0"/>
              <w:bottom w:val="single" w:color="auto" w:sz="12" w:space="0"/>
              <w:right w:val="single" w:color="auto" w:sz="12" w:space="0"/>
            </w:tcBorders>
            <w:tcMar>
              <w:left w:w="113" w:type="dxa"/>
              <w:right w:w="113" w:type="dxa"/>
            </w:tcMar>
          </w:tcPr>
          <w:p>
            <w:pPr>
              <w:pStyle w:val="21"/>
              <w:numPr>
                <w:ilvl w:val="0"/>
                <w:numId w:val="1"/>
              </w:numPr>
              <w:spacing w:before="156" w:beforeLines="50"/>
              <w:ind w:right="480" w:rightChars="200" w:firstLineChars="0"/>
              <w:rPr>
                <w:rFonts w:asciiTheme="majorEastAsia" w:hAnsiTheme="majorEastAsia" w:eastAsiaTheme="majorEastAsia"/>
                <w:b/>
                <w:sz w:val="21"/>
                <w:szCs w:val="21"/>
              </w:rPr>
            </w:pPr>
            <w:r>
              <w:rPr>
                <w:rFonts w:hint="eastAsia" w:asciiTheme="majorEastAsia" w:hAnsiTheme="majorEastAsia" w:eastAsiaTheme="majorEastAsia"/>
                <w:b/>
                <w:sz w:val="21"/>
                <w:szCs w:val="21"/>
              </w:rPr>
              <w:t>研究依据（包括选题背景、选题内容介绍及研究的意义）</w:t>
            </w:r>
          </w:p>
          <w:p>
            <w:pPr>
              <w:pStyle w:val="21"/>
              <w:numPr>
                <w:ilvl w:val="0"/>
                <w:numId w:val="2"/>
              </w:numPr>
              <w:ind w:firstLineChars="0"/>
              <w:rPr>
                <w:rFonts w:asciiTheme="majorEastAsia" w:hAnsiTheme="majorEastAsia" w:eastAsiaTheme="majorEastAsia"/>
                <w:b/>
                <w:sz w:val="21"/>
                <w:szCs w:val="21"/>
              </w:rPr>
            </w:pPr>
            <w:r>
              <w:rPr>
                <w:rFonts w:hint="eastAsia" w:asciiTheme="majorEastAsia" w:hAnsiTheme="majorEastAsia" w:eastAsiaTheme="majorEastAsia"/>
                <w:b/>
                <w:sz w:val="21"/>
                <w:szCs w:val="21"/>
              </w:rPr>
              <w:t>选题背景</w:t>
            </w:r>
          </w:p>
          <w:p>
            <w:pPr>
              <w:jc w:val="both"/>
              <w:rPr>
                <w:rFonts w:hint="default"/>
                <w:b/>
                <w:sz w:val="21"/>
                <w:szCs w:val="21"/>
                <w:lang w:val="en-US"/>
              </w:rPr>
            </w:pPr>
            <w:r>
              <w:rPr>
                <w:rFonts w:hint="eastAsia"/>
                <w:sz w:val="21"/>
                <w:szCs w:val="21"/>
                <w:lang w:val="en-US" w:eastAsia="zh-CN"/>
              </w:rPr>
              <w:t>随着全球一体化的趋势不断加强，国际间技术交流活动愈发频繁，了解全球技术动态是中国与国际接轨的重要内容之一。近些年来无人机已经面世于物流、农业等领域，尤其是无人机分拣机，但是无人机快递还未普世。而国际上无人机技术公司正研发无人机运输工具，这是未来的趋势，是当下社会关注热点。笔者选取2020年以无人机为主题的一场国际网络研讨会为实践内容，进行模拟交替传译，为无人机领域的交传研究做出贡献。</w:t>
            </w:r>
          </w:p>
          <w:p>
            <w:pPr>
              <w:rPr>
                <w:b/>
                <w:sz w:val="21"/>
                <w:szCs w:val="21"/>
                <w:highlight w:val="yellow"/>
              </w:rPr>
            </w:pPr>
          </w:p>
          <w:p>
            <w:pPr>
              <w:rPr>
                <w:b/>
                <w:sz w:val="21"/>
                <w:szCs w:val="21"/>
              </w:rPr>
            </w:pPr>
          </w:p>
          <w:p>
            <w:pPr>
              <w:rPr>
                <w:b/>
                <w:sz w:val="21"/>
                <w:szCs w:val="21"/>
              </w:rPr>
            </w:pPr>
          </w:p>
          <w:p>
            <w:pPr>
              <w:pStyle w:val="21"/>
              <w:numPr>
                <w:ilvl w:val="0"/>
                <w:numId w:val="2"/>
              </w:numPr>
              <w:ind w:firstLineChars="0"/>
              <w:rPr>
                <w:b w:val="0"/>
                <w:bCs/>
                <w:sz w:val="21"/>
                <w:szCs w:val="21"/>
              </w:rPr>
            </w:pPr>
            <w:r>
              <w:rPr>
                <w:rFonts w:hint="eastAsia" w:asciiTheme="majorEastAsia" w:hAnsiTheme="majorEastAsia" w:eastAsiaTheme="majorEastAsia"/>
                <w:b/>
                <w:sz w:val="21"/>
                <w:szCs w:val="21"/>
              </w:rPr>
              <w:t>选题内容介绍</w:t>
            </w:r>
          </w:p>
          <w:p>
            <w:pPr>
              <w:jc w:val="both"/>
              <w:rPr>
                <w:rFonts w:hint="default"/>
                <w:b w:val="0"/>
                <w:bCs/>
                <w:sz w:val="21"/>
                <w:szCs w:val="21"/>
                <w:lang w:val="en-US" w:eastAsia="zh-CN"/>
              </w:rPr>
            </w:pPr>
            <w:r>
              <w:rPr>
                <w:rFonts w:hint="eastAsia"/>
                <w:b w:val="0"/>
                <w:bCs/>
                <w:sz w:val="21"/>
                <w:szCs w:val="21"/>
                <w:lang w:val="en-US" w:eastAsia="zh-CN"/>
              </w:rPr>
              <w:t>实践载体为“世界是否准备迎接无人机运输”网络研讨会。研讨会邀请迈克尔·黑兰德（Michael Healander,Airspace Link公司）、亚历山大·哈尔门（Alexander Harmsen,Iris Automation公司）、玛特·范妮莉（Matt Fanelli,Skyward公司）、丹·兹尔问卡（Dan Czerwonka,Zipline公司）、埃德·瑞也（Ed De Reyes, Sabrewing Aircraft公司）五位公司领导人和研究员共同探讨“世界是否准备迎接无人机运输”。无人机运输业一直受限于物流行业管理规定而无法自由扩展市场。近日全球媒体和公众都在关注无人机，该研讨会讨论了新形势下无人机行业会有何新机遇，以及亟待解决的形势困难。</w:t>
            </w:r>
          </w:p>
          <w:p>
            <w:pPr>
              <w:jc w:val="both"/>
              <w:rPr>
                <w:rFonts w:hint="eastAsia"/>
                <w:b w:val="0"/>
                <w:bCs/>
                <w:sz w:val="21"/>
                <w:szCs w:val="21"/>
                <w:lang w:val="en-US" w:eastAsia="zh-CN"/>
              </w:rPr>
            </w:pPr>
          </w:p>
          <w:p>
            <w:pPr>
              <w:jc w:val="both"/>
              <w:rPr>
                <w:rFonts w:hint="default"/>
                <w:b w:val="0"/>
                <w:bCs/>
                <w:sz w:val="21"/>
                <w:szCs w:val="21"/>
                <w:lang w:val="en-US" w:eastAsia="zh-CN"/>
              </w:rPr>
            </w:pPr>
            <w:r>
              <w:rPr>
                <w:rFonts w:hint="eastAsia"/>
                <w:b w:val="0"/>
                <w:bCs/>
                <w:sz w:val="21"/>
                <w:szCs w:val="21"/>
                <w:lang w:val="en-US" w:eastAsia="zh-CN"/>
              </w:rPr>
              <w:t>在模拟实践中，笔者在乔治·米勒的短时记忆7±2法则指导下进行交传。笔者进行“组块”式记忆，实践中，频繁使用或相对稳定的是语言结构，满足组块条件，然而语言结构总是与不同语言内容结合，因此作者在听辨时还根据逻辑关系对翻译语言内容进行预测，从而使得组块进程更加顺利。这一方式提高笔者实践效果，可为其他人提供借鉴。最后笔者对固定搭配、介词短语和从句三大结构进行案例分析展示具体如何应用该理论。</w:t>
            </w:r>
          </w:p>
          <w:p>
            <w:pPr>
              <w:rPr>
                <w:rFonts w:hint="eastAsia"/>
                <w:b w:val="0"/>
                <w:bCs/>
                <w:sz w:val="21"/>
                <w:szCs w:val="21"/>
                <w:lang w:val="en-US" w:eastAsia="zh-CN"/>
              </w:rPr>
            </w:pPr>
          </w:p>
          <w:p>
            <w:pPr>
              <w:rPr>
                <w:b/>
                <w:sz w:val="21"/>
                <w:szCs w:val="21"/>
              </w:rPr>
            </w:pPr>
          </w:p>
          <w:p>
            <w:pPr>
              <w:rPr>
                <w:b w:val="0"/>
                <w:bCs/>
                <w:sz w:val="21"/>
                <w:szCs w:val="21"/>
              </w:rPr>
            </w:pPr>
          </w:p>
          <w:p>
            <w:pPr>
              <w:rPr>
                <w:b w:val="0"/>
                <w:bCs/>
                <w:sz w:val="21"/>
                <w:szCs w:val="21"/>
              </w:rPr>
            </w:pPr>
          </w:p>
          <w:p>
            <w:pPr>
              <w:rPr>
                <w:rFonts w:asciiTheme="majorEastAsia" w:hAnsiTheme="majorEastAsia" w:eastAsiaTheme="majorEastAsia"/>
                <w:b w:val="0"/>
                <w:bCs/>
                <w:sz w:val="21"/>
                <w:szCs w:val="21"/>
              </w:rPr>
            </w:pPr>
          </w:p>
          <w:p>
            <w:pPr>
              <w:pStyle w:val="21"/>
              <w:numPr>
                <w:ilvl w:val="0"/>
                <w:numId w:val="2"/>
              </w:numPr>
              <w:ind w:firstLineChars="0"/>
              <w:rPr>
                <w:rFonts w:asciiTheme="majorEastAsia" w:hAnsiTheme="majorEastAsia" w:eastAsiaTheme="majorEastAsia"/>
                <w:b/>
                <w:sz w:val="21"/>
                <w:szCs w:val="21"/>
              </w:rPr>
            </w:pPr>
            <w:r>
              <w:rPr>
                <w:rFonts w:hint="eastAsia" w:asciiTheme="majorEastAsia" w:hAnsiTheme="majorEastAsia" w:eastAsiaTheme="majorEastAsia"/>
                <w:b/>
                <w:sz w:val="21"/>
                <w:szCs w:val="21"/>
              </w:rPr>
              <w:t>研究意义</w:t>
            </w:r>
          </w:p>
          <w:p>
            <w:pPr>
              <w:jc w:val="both"/>
              <w:rPr>
                <w:rFonts w:hint="eastAsia"/>
                <w:b w:val="0"/>
                <w:bCs/>
                <w:sz w:val="21"/>
                <w:szCs w:val="21"/>
                <w:lang w:val="en-US" w:eastAsia="zh-CN"/>
              </w:rPr>
            </w:pPr>
            <w:r>
              <w:rPr>
                <w:rFonts w:hint="eastAsia"/>
                <w:b w:val="0"/>
                <w:bCs/>
                <w:sz w:val="21"/>
                <w:szCs w:val="21"/>
                <w:lang w:val="en-US" w:eastAsia="zh-CN"/>
              </w:rPr>
              <w:t>乔治·米勒的短时记忆7±2法则在全球范围内地外语应用都很广泛，然而在口译实践中鲜有以组块理论为中心成章论述。笔者应用组块理论进行实践并在实践中应用口译中的认知预测技巧缓解变量引起的不确定问题。希望这一跨学科理论在英汉翻译领域的创新性尝试在帮助广大口译实践者启迪思维、拓展能力提升空间的同时，能够为他们提供更多交传能力提升路径和可资借鉴的实践经验。笔者以无人机相关研讨会为实践内容进行模拟交传，并将该组块加预测应用到实践中，并通过案例分析展示具体应用步骤。笔者紧跟时代潮流，采取科技材料为实践内容，希望能促进时下热门的科技翻译的研究。</w:t>
            </w:r>
          </w:p>
          <w:p>
            <w:pPr>
              <w:rPr>
                <w:b/>
                <w:sz w:val="21"/>
                <w:szCs w:val="21"/>
              </w:rPr>
            </w:pPr>
          </w:p>
          <w:p>
            <w:pPr>
              <w:pStyle w:val="21"/>
              <w:ind w:left="360" w:firstLine="0" w:firstLineChars="0"/>
              <w:rPr>
                <w:b/>
                <w:sz w:val="21"/>
                <w:szCs w:val="21"/>
              </w:rPr>
            </w:pPr>
          </w:p>
          <w:p>
            <w:pPr>
              <w:ind w:firstLine="420" w:firstLineChars="200"/>
              <w:rPr>
                <w:sz w:val="21"/>
                <w:szCs w:val="21"/>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 w:type="dxa"/>
            <w:bottom w:w="0" w:type="dxa"/>
            <w:right w:w="10" w:type="dxa"/>
          </w:tblCellMar>
        </w:tblPrEx>
        <w:trPr>
          <w:gridBefore w:val="1"/>
          <w:wBefore w:w="103" w:type="dxa"/>
          <w:trHeight w:val="13546" w:hRule="atLeast"/>
          <w:jc w:val="center"/>
        </w:trPr>
        <w:tc>
          <w:tcPr>
            <w:tcW w:w="9589" w:type="dxa"/>
            <w:gridSpan w:val="5"/>
            <w:tcBorders>
              <w:top w:val="single" w:color="auto" w:sz="12" w:space="0"/>
              <w:bottom w:val="single" w:color="auto" w:sz="12" w:space="0"/>
            </w:tcBorders>
          </w:tcPr>
          <w:p>
            <w:pPr>
              <w:numPr>
                <w:ilvl w:val="0"/>
                <w:numId w:val="3"/>
              </w:numPr>
              <w:rPr>
                <w:b/>
                <w:sz w:val="21"/>
                <w:szCs w:val="21"/>
              </w:rPr>
            </w:pPr>
            <w:r>
              <w:rPr>
                <w:rFonts w:hint="eastAsia"/>
                <w:b/>
                <w:sz w:val="21"/>
                <w:szCs w:val="21"/>
              </w:rPr>
              <w:t>研究内容（前期工作描述，遇到的主要问题分析，拟使用的主要理论、策略或方法）</w:t>
            </w:r>
          </w:p>
          <w:p>
            <w:pPr>
              <w:rPr>
                <w:rFonts w:asciiTheme="majorEastAsia" w:hAnsiTheme="majorEastAsia" w:eastAsiaTheme="majorEastAsia"/>
                <w:b/>
                <w:sz w:val="21"/>
                <w:szCs w:val="21"/>
              </w:rPr>
            </w:pPr>
          </w:p>
          <w:p>
            <w:pPr>
              <w:pStyle w:val="21"/>
              <w:numPr>
                <w:ilvl w:val="0"/>
                <w:numId w:val="4"/>
              </w:numPr>
              <w:ind w:firstLineChars="0"/>
              <w:rPr>
                <w:rFonts w:asciiTheme="majorEastAsia" w:hAnsiTheme="majorEastAsia" w:eastAsiaTheme="majorEastAsia"/>
                <w:b/>
                <w:sz w:val="21"/>
                <w:szCs w:val="21"/>
              </w:rPr>
            </w:pPr>
            <w:r>
              <w:rPr>
                <w:rFonts w:hint="eastAsia" w:asciiTheme="majorEastAsia" w:hAnsiTheme="majorEastAsia" w:eastAsiaTheme="majorEastAsia"/>
                <w:b/>
                <w:sz w:val="21"/>
                <w:szCs w:val="21"/>
              </w:rPr>
              <w:t>前期工作描述（前期工作的具体内容需以附录形式附上）</w:t>
            </w:r>
          </w:p>
          <w:p>
            <w:pPr>
              <w:numPr>
                <w:ilvl w:val="0"/>
                <w:numId w:val="5"/>
              </w:numPr>
              <w:jc w:val="both"/>
              <w:rPr>
                <w:rFonts w:hint="eastAsia"/>
                <w:b w:val="0"/>
                <w:bCs/>
                <w:sz w:val="21"/>
                <w:szCs w:val="21"/>
                <w:lang w:val="en-US" w:eastAsia="zh-CN"/>
              </w:rPr>
            </w:pPr>
            <w:r>
              <w:rPr>
                <w:rFonts w:hint="eastAsia"/>
                <w:b w:val="0"/>
                <w:bCs/>
                <w:sz w:val="21"/>
                <w:szCs w:val="21"/>
                <w:lang w:val="en-US" w:eastAsia="zh-CN"/>
              </w:rPr>
              <w:t>笔者寻找时下科技热点材料，并做了翻译准备工作，包括查找术语，了解材料中讲者的背景。</w:t>
            </w:r>
          </w:p>
          <w:p>
            <w:pPr>
              <w:numPr>
                <w:ilvl w:val="0"/>
                <w:numId w:val="5"/>
              </w:numPr>
              <w:jc w:val="both"/>
              <w:rPr>
                <w:rFonts w:hint="default" w:eastAsia="宋体"/>
                <w:b w:val="0"/>
                <w:bCs/>
                <w:sz w:val="21"/>
                <w:szCs w:val="21"/>
                <w:lang w:val="en-US" w:eastAsia="zh-CN"/>
              </w:rPr>
            </w:pPr>
            <w:r>
              <w:rPr>
                <w:rFonts w:hint="eastAsia"/>
                <w:b w:val="0"/>
                <w:bCs/>
                <w:sz w:val="21"/>
                <w:szCs w:val="21"/>
                <w:lang w:val="en-US" w:eastAsia="zh-CN"/>
              </w:rPr>
              <w:t>大量搜集乔治·米勒的短时记忆法则相关的文献资料，研读分析。60年来，中外学者对米勒的法则有支持有质疑。例如Cowan认为这个神奇的数字应该是4，而不是7；还有很多后人做了更多的实验证实了米勒法则；具体数字是几还未得出定论。该法则也由学者们做了更多延伸和应用。众学者研究短时记忆的材料和年龄特征、汉语字词的短时记忆容量、口译中的短时记忆；将该理论应用到语块教学、听力理解与记忆、交替传译与短时记忆的互动与融合、交替传译漏译误译问题分析、语块对同声传译的缓解作用。有学者仅提出笔记要和短时记忆融合互动。有学者将组块记忆与听力和笔记联系到一起，罗列出众多组块分类，但并未有太多文献重点探索将该法则直接应用到交传中。</w:t>
            </w:r>
          </w:p>
          <w:p>
            <w:pPr>
              <w:numPr>
                <w:ilvl w:val="0"/>
                <w:numId w:val="5"/>
              </w:numPr>
              <w:rPr>
                <w:rFonts w:hint="default" w:eastAsia="宋体"/>
                <w:b w:val="0"/>
                <w:bCs/>
                <w:sz w:val="21"/>
                <w:szCs w:val="21"/>
                <w:lang w:val="en-US" w:eastAsia="zh-CN"/>
              </w:rPr>
            </w:pPr>
            <w:r>
              <w:rPr>
                <w:rFonts w:hint="eastAsia"/>
                <w:b w:val="0"/>
                <w:bCs/>
                <w:sz w:val="21"/>
                <w:szCs w:val="21"/>
                <w:lang w:val="en-US" w:eastAsia="zh-CN"/>
              </w:rPr>
              <w:t>拆解并研究理论，将理论从有限容量和组块记忆两个点切入。逐步探讨如何应用到理论中以及理论使用的合理性。</w:t>
            </w:r>
          </w:p>
          <w:p>
            <w:pPr>
              <w:numPr>
                <w:ilvl w:val="0"/>
                <w:numId w:val="5"/>
              </w:numPr>
              <w:ind w:left="0" w:leftChars="0" w:firstLine="0" w:firstLineChars="0"/>
              <w:rPr>
                <w:b w:val="0"/>
                <w:bCs/>
                <w:sz w:val="21"/>
                <w:szCs w:val="21"/>
              </w:rPr>
            </w:pPr>
            <w:r>
              <w:rPr>
                <w:rFonts w:hint="eastAsia"/>
                <w:b w:val="0"/>
                <w:bCs/>
                <w:sz w:val="21"/>
                <w:szCs w:val="21"/>
                <w:lang w:val="en-US" w:eastAsia="zh-CN"/>
              </w:rPr>
              <w:t>进行实践，并分析案例。</w:t>
            </w:r>
          </w:p>
          <w:p>
            <w:pPr>
              <w:rPr>
                <w:b/>
                <w:sz w:val="21"/>
                <w:szCs w:val="21"/>
              </w:rPr>
            </w:pPr>
          </w:p>
          <w:p>
            <w:pPr>
              <w:rPr>
                <w:sz w:val="21"/>
                <w:szCs w:val="21"/>
              </w:rPr>
            </w:pPr>
          </w:p>
          <w:p>
            <w:pPr>
              <w:rPr>
                <w:sz w:val="21"/>
                <w:szCs w:val="21"/>
              </w:rPr>
            </w:pPr>
          </w:p>
          <w:p>
            <w:pPr>
              <w:pStyle w:val="21"/>
              <w:numPr>
                <w:ilvl w:val="0"/>
                <w:numId w:val="4"/>
              </w:numPr>
              <w:ind w:firstLineChars="0"/>
              <w:rPr>
                <w:rFonts w:hint="eastAsia"/>
                <w:b w:val="0"/>
                <w:bCs/>
                <w:sz w:val="21"/>
                <w:szCs w:val="21"/>
                <w:lang w:val="en-US" w:eastAsia="zh-CN"/>
              </w:rPr>
            </w:pPr>
            <w:r>
              <w:rPr>
                <w:rFonts w:hint="eastAsia" w:asciiTheme="majorEastAsia" w:hAnsiTheme="majorEastAsia" w:eastAsiaTheme="majorEastAsia"/>
                <w:b/>
                <w:sz w:val="21"/>
                <w:szCs w:val="21"/>
              </w:rPr>
              <w:t>遇到的主要问题分析</w:t>
            </w:r>
          </w:p>
          <w:p>
            <w:pPr>
              <w:jc w:val="both"/>
              <w:rPr>
                <w:rFonts w:hint="eastAsia"/>
                <w:b w:val="0"/>
                <w:bCs/>
                <w:sz w:val="21"/>
                <w:szCs w:val="21"/>
                <w:lang w:val="en-US" w:eastAsia="zh-CN"/>
              </w:rPr>
            </w:pPr>
            <w:r>
              <w:rPr>
                <w:rFonts w:hint="eastAsia"/>
                <w:b w:val="0"/>
                <w:bCs/>
                <w:sz w:val="21"/>
                <w:szCs w:val="21"/>
                <w:lang w:val="en-US" w:eastAsia="zh-CN"/>
              </w:rPr>
              <w:t>1.Obler指出交替传译主要依靠短时记忆保持信息。找出短时记忆的科学方式意味着脑记笔记具体如何协调。美国心理学家乔治·米勒在1956 年发表研究报告《神奇的数字 7 +/- 2；我们信息加工能力的局限》。这一理论应用到交传中是否可行？</w:t>
            </w:r>
          </w:p>
          <w:p>
            <w:pPr>
              <w:jc w:val="both"/>
              <w:rPr>
                <w:rFonts w:hint="eastAsia"/>
                <w:b w:val="0"/>
                <w:bCs/>
                <w:sz w:val="21"/>
                <w:szCs w:val="21"/>
                <w:lang w:val="en-US" w:eastAsia="zh-CN"/>
              </w:rPr>
            </w:pPr>
            <w:r>
              <w:rPr>
                <w:rFonts w:hint="eastAsia"/>
                <w:b w:val="0"/>
                <w:bCs/>
                <w:sz w:val="21"/>
                <w:szCs w:val="21"/>
                <w:lang w:val="en-US" w:eastAsia="zh-CN"/>
              </w:rPr>
              <w:t>2.应用组块记忆时，组块如何定义？熟悉内容都可以是一个组块。组块容量越大短时记忆广度越大。在交替传译实践过程中，因果关系、故事都可以是组块。人类大脑总是容易记忆的东西，如故事和逻辑。但口译活动中，口译初出茅庐者熟悉的通常是语言结构，如介词短语，固定搭配等等。</w:t>
            </w:r>
          </w:p>
          <w:p>
            <w:pPr>
              <w:jc w:val="both"/>
              <w:rPr>
                <w:rFonts w:hint="eastAsia"/>
                <w:b w:val="0"/>
                <w:bCs/>
                <w:sz w:val="21"/>
                <w:szCs w:val="21"/>
                <w:lang w:val="en-US" w:eastAsia="zh-CN"/>
              </w:rPr>
            </w:pPr>
            <w:r>
              <w:rPr>
                <w:rFonts w:hint="eastAsia"/>
                <w:b w:val="0"/>
                <w:bCs/>
                <w:sz w:val="21"/>
                <w:szCs w:val="21"/>
                <w:lang w:val="en-US" w:eastAsia="zh-CN"/>
              </w:rPr>
              <w:t>3.组块的数量一定要限定在5-9之间吗？根据米勒的理论，短时记忆容量有限，且组块信息维持在5-9个。有限的容量和短时记忆扩容是后来学者同样得来的研究结果，但是Cowan提出这一数字应当是4。有关这一争论目前还未证实确定答案。因此此处我们将关注点放在有限的容量，而并非具体数字。这仍然表明交替传译实践者单次工作时间有限，才能保证翻译质量。并且为这一观念提供理论依据。</w:t>
            </w:r>
          </w:p>
          <w:p>
            <w:pPr>
              <w:jc w:val="both"/>
              <w:rPr>
                <w:b/>
                <w:sz w:val="21"/>
                <w:szCs w:val="21"/>
              </w:rPr>
            </w:pPr>
            <w:bookmarkStart w:id="2" w:name="_GoBack"/>
            <w:bookmarkEnd w:id="2"/>
          </w:p>
          <w:p>
            <w:pPr>
              <w:jc w:val="both"/>
              <w:rPr>
                <w:b/>
                <w:sz w:val="21"/>
                <w:szCs w:val="21"/>
              </w:rPr>
            </w:pPr>
          </w:p>
          <w:p>
            <w:pPr>
              <w:jc w:val="both"/>
              <w:rPr>
                <w:b/>
                <w:sz w:val="21"/>
                <w:szCs w:val="21"/>
              </w:rPr>
            </w:pPr>
          </w:p>
          <w:p>
            <w:pPr>
              <w:rPr>
                <w:b/>
                <w:sz w:val="21"/>
                <w:szCs w:val="21"/>
              </w:rPr>
            </w:pPr>
          </w:p>
          <w:p>
            <w:pPr>
              <w:rPr>
                <w:rFonts w:asciiTheme="majorEastAsia" w:hAnsiTheme="majorEastAsia" w:eastAsiaTheme="majorEastAsia"/>
                <w:b/>
                <w:sz w:val="21"/>
                <w:szCs w:val="21"/>
              </w:rPr>
            </w:pPr>
            <w:r>
              <w:rPr>
                <w:rFonts w:hint="eastAsia" w:asciiTheme="majorEastAsia" w:hAnsiTheme="majorEastAsia" w:eastAsiaTheme="majorEastAsia"/>
                <w:b/>
                <w:sz w:val="21"/>
                <w:szCs w:val="21"/>
              </w:rPr>
              <w:t>3. 拟使用的主要理论、策略或方法</w:t>
            </w:r>
          </w:p>
          <w:p>
            <w:pPr>
              <w:rPr>
                <w:sz w:val="21"/>
                <w:szCs w:val="21"/>
              </w:rPr>
            </w:pPr>
          </w:p>
          <w:p>
            <w:pPr>
              <w:jc w:val="both"/>
              <w:rPr>
                <w:rFonts w:hint="eastAsia"/>
                <w:b w:val="0"/>
                <w:bCs w:val="0"/>
                <w:sz w:val="21"/>
                <w:szCs w:val="21"/>
                <w:lang w:val="en-US" w:eastAsia="zh-CN"/>
              </w:rPr>
            </w:pPr>
            <w:r>
              <w:rPr>
                <w:rFonts w:hint="eastAsia"/>
                <w:b w:val="0"/>
                <w:bCs w:val="0"/>
                <w:sz w:val="21"/>
                <w:szCs w:val="21"/>
                <w:lang w:val="en-US" w:eastAsia="zh-CN"/>
              </w:rPr>
              <w:t>美国心理学家乔治·米勒在1956 年发表研究报告《神奇的数字 7 +/- 2；我们信息加工能力的局限》，文中通过多个实验揭示了人类短时记忆有限，通过组块记忆方式可以扩展短时记忆容量。这一理论指导口译实践者具体如何合理分配脑记和笔记，从而解决盲目笔记干扰听辨的问题。</w:t>
            </w:r>
          </w:p>
          <w:p>
            <w:pPr>
              <w:numPr>
                <w:ilvl w:val="0"/>
                <w:numId w:val="6"/>
              </w:numPr>
              <w:jc w:val="both"/>
              <w:rPr>
                <w:rFonts w:hint="eastAsia"/>
                <w:b w:val="0"/>
                <w:bCs w:val="0"/>
                <w:sz w:val="21"/>
                <w:szCs w:val="21"/>
                <w:lang w:val="en-US" w:eastAsia="zh-CN"/>
              </w:rPr>
            </w:pPr>
            <w:r>
              <w:rPr>
                <w:rFonts w:hint="eastAsia"/>
                <w:b w:val="0"/>
                <w:bCs w:val="0"/>
                <w:sz w:val="21"/>
                <w:szCs w:val="21"/>
                <w:lang w:val="en-US" w:eastAsia="zh-CN"/>
              </w:rPr>
              <w:t>由于短时记忆容量有限，实践者应限定单次工作的记忆广度，才能保证翻译的质量。</w:t>
            </w:r>
          </w:p>
          <w:p>
            <w:pPr>
              <w:numPr>
                <w:ilvl w:val="0"/>
                <w:numId w:val="6"/>
              </w:numPr>
              <w:jc w:val="both"/>
              <w:rPr>
                <w:rFonts w:hint="default"/>
                <w:b w:val="0"/>
                <w:bCs w:val="0"/>
                <w:sz w:val="21"/>
                <w:szCs w:val="21"/>
                <w:lang w:val="en-US"/>
              </w:rPr>
            </w:pPr>
            <w:r>
              <w:rPr>
                <w:rFonts w:hint="eastAsia"/>
                <w:b w:val="0"/>
                <w:bCs w:val="0"/>
                <w:sz w:val="21"/>
                <w:szCs w:val="21"/>
                <w:lang w:val="en-US" w:eastAsia="zh-CN"/>
              </w:rPr>
              <w:t>根据米勒的理论，交传实践者可利用组块方式扩展记忆容量。熟悉的、满足组块条件包括语言结构，笔者对熟悉的短语搭配等进行组块记忆，对于结构框架内包含的可变因素，笔者结合认知预测确保实践的顺利。</w:t>
            </w:r>
          </w:p>
          <w:p>
            <w:pPr>
              <w:rPr>
                <w:sz w:val="21"/>
                <w:szCs w:val="21"/>
              </w:rPr>
            </w:pPr>
          </w:p>
        </w:tc>
      </w:tr>
    </w:tbl>
    <w:p>
      <w:pPr>
        <w:spacing w:line="20" w:lineRule="exact"/>
        <w:rPr>
          <w:sz w:val="21"/>
          <w:szCs w:val="21"/>
        </w:rPr>
      </w:pPr>
    </w:p>
    <w:p>
      <w:pPr>
        <w:rPr>
          <w:sz w:val="21"/>
          <w:szCs w:val="21"/>
        </w:rPr>
        <w:sectPr>
          <w:headerReference r:id="rId7" w:type="first"/>
          <w:footerReference r:id="rId8" w:type="first"/>
          <w:pgSz w:w="11906" w:h="16838"/>
          <w:pgMar w:top="1440" w:right="851" w:bottom="1440" w:left="1418" w:header="567" w:footer="794" w:gutter="0"/>
          <w:pgNumType w:fmt="numberInDash" w:start="1"/>
          <w:cols w:space="425" w:num="1"/>
          <w:titlePg/>
          <w:docGrid w:type="lines" w:linePitch="312" w:charSpace="0"/>
        </w:sectPr>
      </w:pPr>
    </w:p>
    <w:tbl>
      <w:tblPr>
        <w:tblStyle w:val="10"/>
        <w:tblW w:w="9605"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0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331" w:hRule="atLeast"/>
          <w:jc w:val="center"/>
        </w:trPr>
        <w:tc>
          <w:tcPr>
            <w:tcW w:w="9605" w:type="dxa"/>
            <w:tcBorders>
              <w:bottom w:val="single" w:color="auto" w:sz="4" w:space="0"/>
            </w:tcBorders>
          </w:tcPr>
          <w:p>
            <w:pPr>
              <w:spacing w:before="156" w:beforeLines="50"/>
              <w:ind w:right="480" w:rightChars="200"/>
              <w:rPr>
                <w:rFonts w:asciiTheme="majorEastAsia" w:hAnsiTheme="majorEastAsia" w:eastAsiaTheme="majorEastAsia"/>
                <w:b/>
                <w:sz w:val="21"/>
                <w:szCs w:val="21"/>
              </w:rPr>
            </w:pPr>
            <w:r>
              <w:rPr>
                <w:rFonts w:hint="eastAsia" w:asciiTheme="majorEastAsia" w:hAnsiTheme="majorEastAsia" w:eastAsiaTheme="majorEastAsia"/>
                <w:b/>
                <w:sz w:val="21"/>
                <w:szCs w:val="21"/>
              </w:rPr>
              <w:t>三、研究设计</w:t>
            </w:r>
          </w:p>
          <w:p>
            <w:pPr>
              <w:spacing w:before="156" w:beforeLines="50"/>
              <w:ind w:right="480" w:rightChars="200"/>
              <w:rPr>
                <w:rFonts w:hint="eastAsia"/>
                <w:b w:val="0"/>
                <w:bCs/>
                <w:sz w:val="21"/>
                <w:szCs w:val="21"/>
                <w:lang w:val="en-US" w:eastAsia="zh-CN"/>
              </w:rPr>
            </w:pPr>
            <w:r>
              <w:rPr>
                <w:rFonts w:asciiTheme="majorEastAsia" w:hAnsiTheme="majorEastAsia" w:eastAsiaTheme="majorEastAsia"/>
                <w:b/>
                <w:sz w:val="21"/>
                <w:szCs w:val="21"/>
              </w:rPr>
              <w:t>1</w:t>
            </w:r>
            <w:r>
              <w:rPr>
                <w:rFonts w:hint="eastAsia" w:asciiTheme="majorEastAsia" w:hAnsiTheme="majorEastAsia" w:eastAsiaTheme="majorEastAsia"/>
                <w:b/>
                <w:sz w:val="21"/>
                <w:szCs w:val="21"/>
              </w:rPr>
              <w:t xml:space="preserve">.研究思路及可行性分析 </w:t>
            </w:r>
          </w:p>
          <w:p>
            <w:pPr>
              <w:adjustRightInd w:val="0"/>
              <w:snapToGrid w:val="0"/>
              <w:spacing w:before="156" w:beforeLines="50"/>
              <w:ind w:right="480" w:rightChars="200"/>
              <w:jc w:val="both"/>
              <w:rPr>
                <w:rFonts w:hint="eastAsia"/>
                <w:b w:val="0"/>
                <w:bCs/>
                <w:sz w:val="21"/>
                <w:szCs w:val="21"/>
                <w:lang w:val="en-US" w:eastAsia="zh-CN"/>
              </w:rPr>
            </w:pPr>
            <w:r>
              <w:rPr>
                <w:rFonts w:hint="eastAsia"/>
                <w:b w:val="0"/>
                <w:bCs/>
                <w:sz w:val="21"/>
                <w:szCs w:val="21"/>
                <w:lang w:val="en-US" w:eastAsia="zh-CN"/>
              </w:rPr>
              <w:t>1.笔者顺应时代潮流，关注科技热点。选取“世界是否准备迎接无人机运输”网络研讨会进行模拟交传。促进当代科技翻译的研究。</w:t>
            </w:r>
          </w:p>
          <w:p>
            <w:pPr>
              <w:adjustRightInd w:val="0"/>
              <w:snapToGrid w:val="0"/>
              <w:spacing w:before="156" w:beforeLines="50"/>
              <w:ind w:right="480" w:rightChars="200"/>
              <w:jc w:val="both"/>
              <w:rPr>
                <w:rFonts w:hint="default"/>
                <w:b w:val="0"/>
                <w:bCs/>
                <w:sz w:val="21"/>
                <w:szCs w:val="21"/>
                <w:lang w:val="en-US" w:eastAsia="zh-CN"/>
              </w:rPr>
            </w:pPr>
            <w:r>
              <w:rPr>
                <w:rFonts w:hint="eastAsia"/>
                <w:b w:val="0"/>
                <w:bCs/>
                <w:sz w:val="21"/>
                <w:szCs w:val="21"/>
                <w:lang w:val="en-US" w:eastAsia="zh-CN"/>
              </w:rPr>
              <w:t>2.实践过程中受笔记法困扰，翻译质量差强人意，众多实践者同样止步于此。于是提出问题，寻找答案。短时记忆是交传的主要活动，短时记忆理论对于交传十分重要，因此笔者探索可应用的记忆法则。</w:t>
            </w:r>
          </w:p>
          <w:p>
            <w:pPr>
              <w:adjustRightInd w:val="0"/>
              <w:snapToGrid w:val="0"/>
              <w:spacing w:before="156" w:beforeLines="50"/>
              <w:ind w:right="480" w:rightChars="200"/>
              <w:jc w:val="both"/>
              <w:rPr>
                <w:rFonts w:hint="eastAsia"/>
                <w:b w:val="0"/>
                <w:bCs/>
                <w:sz w:val="21"/>
                <w:szCs w:val="21"/>
                <w:lang w:val="en-US" w:eastAsia="zh-CN"/>
              </w:rPr>
            </w:pPr>
            <w:r>
              <w:rPr>
                <w:rFonts w:hint="eastAsia"/>
                <w:b w:val="0"/>
                <w:bCs/>
                <w:sz w:val="21"/>
                <w:szCs w:val="21"/>
                <w:lang w:val="en-US" w:eastAsia="zh-CN"/>
              </w:rPr>
              <w:t>3.笔者寻找科学的记忆理论：乔治·米勒7 +/- 2短时记忆法则。综述相关文献，后人对该理论的证实和延伸众多，但鲜有将该理论应用到交传笔记法中，或是未提出具有操作性的方法。</w:t>
            </w:r>
          </w:p>
          <w:p>
            <w:pPr>
              <w:adjustRightInd w:val="0"/>
              <w:snapToGrid w:val="0"/>
              <w:spacing w:before="156" w:beforeLines="50"/>
              <w:ind w:right="480" w:rightChars="200"/>
              <w:jc w:val="both"/>
              <w:rPr>
                <w:rFonts w:hint="default"/>
                <w:b w:val="0"/>
                <w:bCs/>
                <w:sz w:val="21"/>
                <w:szCs w:val="21"/>
                <w:lang w:val="en-US" w:eastAsia="zh-CN"/>
              </w:rPr>
            </w:pPr>
            <w:r>
              <w:rPr>
                <w:rFonts w:hint="eastAsia"/>
                <w:b w:val="0"/>
                <w:bCs/>
                <w:sz w:val="21"/>
                <w:szCs w:val="21"/>
                <w:lang w:val="en-US" w:eastAsia="zh-CN"/>
              </w:rPr>
              <w:t>4.分解该理论，笔者证实其可应用性。该理论的两大发现：1.短时记忆容量有限；2.组块记忆可以扩展短时记忆容量。交替传译主要依靠短时记忆保持信息（Obler,2012），这就意味着合理的短时记忆方法尤显重要。组块记忆方式是科学的短时记忆方法，能够为扩展交替传译实践者记忆容量提供理论依据。由此确定满足组块条件的内容——常见语言结构。</w:t>
            </w:r>
          </w:p>
          <w:p>
            <w:pPr>
              <w:adjustRightInd w:val="0"/>
              <w:snapToGrid w:val="0"/>
              <w:spacing w:before="156" w:beforeLines="50"/>
              <w:ind w:right="480" w:rightChars="200"/>
              <w:jc w:val="both"/>
              <w:rPr>
                <w:rFonts w:hint="default"/>
                <w:b w:val="0"/>
                <w:bCs/>
                <w:sz w:val="21"/>
                <w:szCs w:val="21"/>
                <w:lang w:val="en-US" w:eastAsia="zh-CN"/>
              </w:rPr>
            </w:pPr>
            <w:r>
              <w:rPr>
                <w:rFonts w:hint="eastAsia"/>
                <w:b w:val="0"/>
                <w:bCs/>
                <w:sz w:val="21"/>
                <w:szCs w:val="21"/>
                <w:lang w:val="en-US" w:eastAsia="zh-CN"/>
              </w:rPr>
              <w:t>5.笔者对该理论进行深入分析和研究；笔者做了实践，为该理论应用提供案例分析基础，证实该理论具有切实可操作性。</w:t>
            </w:r>
          </w:p>
          <w:p>
            <w:pPr>
              <w:adjustRightInd w:val="0"/>
              <w:snapToGrid w:val="0"/>
              <w:spacing w:before="156" w:beforeLines="50"/>
              <w:ind w:right="480" w:rightChars="200"/>
              <w:jc w:val="both"/>
              <w:rPr>
                <w:rFonts w:hint="eastAsia"/>
                <w:b w:val="0"/>
                <w:bCs/>
                <w:sz w:val="21"/>
                <w:szCs w:val="21"/>
                <w:lang w:val="en-US" w:eastAsia="zh-CN"/>
              </w:rPr>
            </w:pPr>
          </w:p>
          <w:p>
            <w:pPr>
              <w:adjustRightInd w:val="0"/>
              <w:snapToGrid w:val="0"/>
              <w:spacing w:before="156" w:beforeLines="50"/>
              <w:ind w:right="480" w:rightChars="200"/>
              <w:jc w:val="both"/>
              <w:rPr>
                <w:rFonts w:hint="eastAsia"/>
                <w:b w:val="0"/>
                <w:bCs/>
                <w:sz w:val="21"/>
                <w:szCs w:val="21"/>
                <w:lang w:val="en-US" w:eastAsia="zh-CN"/>
              </w:rPr>
            </w:pPr>
          </w:p>
          <w:p>
            <w:pPr>
              <w:adjustRightInd w:val="0"/>
              <w:snapToGrid w:val="0"/>
              <w:spacing w:before="156" w:beforeLines="50"/>
              <w:ind w:right="480" w:rightChars="200"/>
              <w:jc w:val="both"/>
              <w:rPr>
                <w:rFonts w:hint="eastAsia"/>
                <w:b w:val="0"/>
                <w:bCs/>
                <w:sz w:val="21"/>
                <w:szCs w:val="21"/>
                <w:lang w:val="en-US" w:eastAsia="zh-CN"/>
              </w:rPr>
            </w:pPr>
          </w:p>
          <w:p>
            <w:pPr>
              <w:pStyle w:val="21"/>
              <w:numPr>
                <w:ilvl w:val="0"/>
                <w:numId w:val="7"/>
              </w:numPr>
              <w:spacing w:before="156" w:beforeLines="50"/>
              <w:ind w:right="480" w:rightChars="200" w:firstLineChars="0"/>
              <w:rPr>
                <w:rFonts w:asciiTheme="majorEastAsia" w:hAnsiTheme="majorEastAsia" w:eastAsiaTheme="majorEastAsia"/>
                <w:b/>
                <w:sz w:val="21"/>
                <w:szCs w:val="21"/>
              </w:rPr>
            </w:pPr>
            <w:r>
              <w:rPr>
                <w:rFonts w:hint="eastAsia" w:asciiTheme="majorEastAsia" w:hAnsiTheme="majorEastAsia" w:eastAsiaTheme="majorEastAsia"/>
                <w:b/>
                <w:sz w:val="21"/>
                <w:szCs w:val="21"/>
              </w:rPr>
              <w:t>研究方法</w:t>
            </w:r>
          </w:p>
          <w:p>
            <w:pPr>
              <w:spacing w:before="156" w:beforeLines="50"/>
              <w:ind w:right="480" w:rightChars="200"/>
              <w:jc w:val="both"/>
              <w:rPr>
                <w:b/>
                <w:sz w:val="21"/>
                <w:szCs w:val="21"/>
              </w:rPr>
            </w:pPr>
            <w:r>
              <w:rPr>
                <w:rFonts w:hint="eastAsia"/>
                <w:b w:val="0"/>
                <w:bCs/>
                <w:sz w:val="21"/>
                <w:szCs w:val="21"/>
                <w:lang w:val="en-US" w:eastAsia="zh-CN"/>
              </w:rPr>
              <w:t>本研究采用理论指导与案例分析相结合的方法。笔者分解理论并应用到翻译实践过程中改良笔记法，最后通过案例分析法对实践进行分析。将米勒实验得出的理论拆解为两方面：短时记忆容量有限，5-9个组块（Cowan指出应该是4个组块）是平均范围；组块记忆可以扩展短时记忆容量。容量限制表明单次工作记忆容量应有合理范围；组块记忆为交传实践者提供科学的短时记忆方法，从而筛选出适合组块的内容。通过以上拆解和实践，笔者逐步应用理论并为理论应用提供案例分析基础，证实此笔记法的可操作性。</w:t>
            </w:r>
          </w:p>
          <w:p>
            <w:pPr>
              <w:spacing w:before="156" w:beforeLines="50"/>
              <w:ind w:right="480" w:rightChars="200"/>
              <w:rPr>
                <w:b/>
                <w:sz w:val="21"/>
                <w:szCs w:val="21"/>
              </w:rPr>
            </w:pPr>
          </w:p>
          <w:p>
            <w:pPr>
              <w:spacing w:before="156" w:beforeLines="50"/>
              <w:ind w:right="480" w:rightChars="200"/>
              <w:rPr>
                <w:b/>
                <w:sz w:val="21"/>
                <w:szCs w:val="21"/>
              </w:rPr>
            </w:pPr>
          </w:p>
          <w:p>
            <w:pPr>
              <w:numPr>
                <w:ilvl w:val="0"/>
                <w:numId w:val="7"/>
              </w:numPr>
              <w:spacing w:before="156" w:beforeLines="50"/>
              <w:ind w:left="360" w:leftChars="0" w:right="480" w:rightChars="200" w:hanging="360" w:firstLineChars="0"/>
              <w:rPr>
                <w:rFonts w:hint="eastAsia" w:asciiTheme="majorEastAsia" w:hAnsiTheme="majorEastAsia" w:eastAsiaTheme="majorEastAsia"/>
                <w:b/>
                <w:sz w:val="21"/>
                <w:szCs w:val="21"/>
              </w:rPr>
            </w:pPr>
            <w:r>
              <w:rPr>
                <w:rFonts w:hint="eastAsia" w:asciiTheme="majorEastAsia" w:hAnsiTheme="majorEastAsia" w:eastAsiaTheme="majorEastAsia"/>
                <w:b/>
                <w:sz w:val="21"/>
                <w:szCs w:val="21"/>
              </w:rPr>
              <w:t>研究步骤及时间安排</w:t>
            </w:r>
          </w:p>
          <w:p>
            <w:pPr>
              <w:numPr>
                <w:ilvl w:val="0"/>
                <w:numId w:val="0"/>
              </w:numPr>
              <w:spacing w:before="156" w:beforeLines="50"/>
              <w:ind w:right="480" w:rightChars="200"/>
              <w:rPr>
                <w:rFonts w:hint="default" w:asciiTheme="majorEastAsia" w:hAnsiTheme="majorEastAsia" w:eastAsiaTheme="majorEastAsia"/>
                <w:b w:val="0"/>
                <w:bCs/>
                <w:sz w:val="21"/>
                <w:szCs w:val="21"/>
                <w:lang w:val="en-US" w:eastAsia="zh-CN"/>
              </w:rPr>
            </w:pPr>
            <w:r>
              <w:rPr>
                <w:rFonts w:hint="default" w:asciiTheme="majorEastAsia" w:hAnsiTheme="majorEastAsia" w:eastAsiaTheme="majorEastAsia"/>
                <w:b w:val="0"/>
                <w:bCs/>
                <w:sz w:val="21"/>
                <w:szCs w:val="21"/>
                <w:lang w:val="en-US" w:eastAsia="zh-CN"/>
              </w:rPr>
              <w:t>2020.05 选取材料，分为四部分进行模拟交传，首先模拟第一部分并提出问题：笔记和记忆不能很好的融合，互相有抑制作用。</w:t>
            </w:r>
          </w:p>
          <w:p>
            <w:pPr>
              <w:numPr>
                <w:ilvl w:val="0"/>
                <w:numId w:val="0"/>
              </w:numPr>
              <w:spacing w:before="156" w:beforeLines="50"/>
              <w:ind w:right="480" w:rightChars="200"/>
              <w:rPr>
                <w:rFonts w:hint="default" w:asciiTheme="majorEastAsia" w:hAnsiTheme="majorEastAsia" w:eastAsiaTheme="majorEastAsia"/>
                <w:b w:val="0"/>
                <w:bCs/>
                <w:sz w:val="21"/>
                <w:szCs w:val="21"/>
                <w:lang w:val="en-US" w:eastAsia="zh-CN"/>
              </w:rPr>
            </w:pPr>
            <w:r>
              <w:rPr>
                <w:rFonts w:hint="default" w:asciiTheme="majorEastAsia" w:hAnsiTheme="majorEastAsia" w:eastAsiaTheme="majorEastAsia"/>
                <w:b w:val="0"/>
                <w:bCs/>
                <w:sz w:val="21"/>
                <w:szCs w:val="21"/>
                <w:lang w:val="en-US" w:eastAsia="zh-CN"/>
              </w:rPr>
              <w:t>2020.06 寻找合适理论并综合前人的研究分析理论：乔治·米勒的7±2短时记忆法则指出短时记忆容量有限，组块记忆可以扩容。组块记忆是科学记忆方法，可以应用到交传实践中。</w:t>
            </w:r>
          </w:p>
          <w:p>
            <w:pPr>
              <w:numPr>
                <w:ilvl w:val="0"/>
                <w:numId w:val="0"/>
              </w:numPr>
              <w:spacing w:before="156" w:beforeLines="50"/>
              <w:ind w:right="480" w:rightChars="200"/>
              <w:rPr>
                <w:rFonts w:hint="default" w:asciiTheme="majorEastAsia" w:hAnsiTheme="majorEastAsia" w:eastAsiaTheme="majorEastAsia"/>
                <w:b w:val="0"/>
                <w:bCs/>
                <w:sz w:val="21"/>
                <w:szCs w:val="21"/>
                <w:lang w:val="en-US" w:eastAsia="zh-CN"/>
              </w:rPr>
            </w:pPr>
            <w:r>
              <w:rPr>
                <w:rFonts w:hint="default" w:asciiTheme="majorEastAsia" w:hAnsiTheme="majorEastAsia" w:eastAsiaTheme="majorEastAsia"/>
                <w:b w:val="0"/>
                <w:bCs/>
                <w:sz w:val="21"/>
                <w:szCs w:val="21"/>
                <w:lang w:val="en-US" w:eastAsia="zh-CN"/>
              </w:rPr>
              <w:t>2020.07-08 深入研究米勒的短时记忆法则，并研读后人的研究延伸和应用，深入了解该法则。</w:t>
            </w:r>
          </w:p>
          <w:p>
            <w:pPr>
              <w:numPr>
                <w:ilvl w:val="0"/>
                <w:numId w:val="0"/>
              </w:numPr>
              <w:spacing w:before="156" w:beforeLines="50"/>
              <w:ind w:right="480" w:rightChars="200"/>
              <w:rPr>
                <w:rFonts w:hint="default" w:asciiTheme="majorEastAsia" w:hAnsiTheme="majorEastAsia" w:eastAsiaTheme="majorEastAsia"/>
                <w:b w:val="0"/>
                <w:bCs/>
                <w:sz w:val="21"/>
                <w:szCs w:val="21"/>
                <w:lang w:val="en-US" w:eastAsia="zh-CN"/>
              </w:rPr>
            </w:pPr>
            <w:r>
              <w:rPr>
                <w:rFonts w:hint="default" w:asciiTheme="majorEastAsia" w:hAnsiTheme="majorEastAsia" w:eastAsiaTheme="majorEastAsia"/>
                <w:b w:val="0"/>
                <w:bCs/>
                <w:sz w:val="21"/>
                <w:szCs w:val="21"/>
                <w:lang w:val="en-US" w:eastAsia="zh-CN"/>
              </w:rPr>
              <w:t>2020.08-09 进行第二、三部分的模拟交传，将理论应用到实践过程中，考察理论的可操作性。</w:t>
            </w:r>
          </w:p>
          <w:p>
            <w:pPr>
              <w:numPr>
                <w:ilvl w:val="0"/>
                <w:numId w:val="0"/>
              </w:numPr>
              <w:spacing w:before="156" w:beforeLines="50"/>
              <w:ind w:right="480" w:rightChars="200"/>
              <w:rPr>
                <w:rFonts w:hint="default" w:asciiTheme="majorEastAsia" w:hAnsiTheme="majorEastAsia" w:eastAsiaTheme="majorEastAsia"/>
                <w:b w:val="0"/>
                <w:bCs/>
                <w:sz w:val="21"/>
                <w:szCs w:val="21"/>
                <w:lang w:val="en-US" w:eastAsia="zh-CN"/>
              </w:rPr>
            </w:pPr>
            <w:r>
              <w:rPr>
                <w:rFonts w:hint="default" w:asciiTheme="majorEastAsia" w:hAnsiTheme="majorEastAsia" w:eastAsiaTheme="majorEastAsia"/>
                <w:b w:val="0"/>
                <w:bCs/>
                <w:sz w:val="21"/>
                <w:szCs w:val="21"/>
                <w:lang w:val="en-US" w:eastAsia="zh-CN"/>
              </w:rPr>
              <w:t>2020.09-10 进行第四部分的模拟交传，并对比传统方法和新方法的翻译效果。</w:t>
            </w:r>
          </w:p>
          <w:p>
            <w:pPr>
              <w:numPr>
                <w:ilvl w:val="0"/>
                <w:numId w:val="0"/>
              </w:numPr>
              <w:spacing w:before="156" w:beforeLines="50"/>
              <w:ind w:right="480" w:rightChars="200"/>
              <w:rPr>
                <w:rFonts w:hint="default" w:asciiTheme="majorEastAsia" w:hAnsiTheme="majorEastAsia" w:eastAsiaTheme="majorEastAsia"/>
                <w:b w:val="0"/>
                <w:bCs/>
                <w:sz w:val="21"/>
                <w:szCs w:val="21"/>
                <w:lang w:val="en-US" w:eastAsia="zh-CN"/>
              </w:rPr>
            </w:pPr>
            <w:r>
              <w:rPr>
                <w:rFonts w:hint="default" w:asciiTheme="majorEastAsia" w:hAnsiTheme="majorEastAsia" w:eastAsiaTheme="majorEastAsia"/>
                <w:b w:val="0"/>
                <w:bCs/>
                <w:sz w:val="21"/>
                <w:szCs w:val="21"/>
                <w:lang w:val="en-US" w:eastAsia="zh-CN"/>
              </w:rPr>
              <w:t>2020.10-12 论文撰写完成。</w:t>
            </w:r>
          </w:p>
          <w:p>
            <w:pPr>
              <w:numPr>
                <w:ilvl w:val="0"/>
                <w:numId w:val="0"/>
              </w:numPr>
              <w:spacing w:before="156" w:beforeLines="50"/>
              <w:ind w:right="480" w:rightChars="200"/>
              <w:rPr>
                <w:rFonts w:hint="default" w:asciiTheme="majorEastAsia" w:hAnsiTheme="majorEastAsia" w:eastAsiaTheme="majorEastAsia"/>
                <w:b w:val="0"/>
                <w:bCs/>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203" w:hRule="atLeast"/>
          <w:jc w:val="center"/>
        </w:trPr>
        <w:tc>
          <w:tcPr>
            <w:tcW w:w="9605" w:type="dxa"/>
            <w:tcBorders>
              <w:top w:val="single" w:color="auto" w:sz="12" w:space="0"/>
            </w:tcBorders>
          </w:tcPr>
          <w:p>
            <w:pPr>
              <w:spacing w:before="156" w:beforeLines="50"/>
              <w:ind w:right="480" w:rightChars="200"/>
              <w:rPr>
                <w:b/>
                <w:sz w:val="21"/>
                <w:szCs w:val="21"/>
              </w:rPr>
            </w:pPr>
            <w:r>
              <w:rPr>
                <w:rFonts w:hint="eastAsia"/>
                <w:b/>
                <w:sz w:val="21"/>
                <w:szCs w:val="21"/>
              </w:rPr>
              <w:t>四、论文大纲（详细至三级标题）</w:t>
            </w:r>
          </w:p>
          <w:p>
            <w:pPr>
              <w:ind w:right="480" w:rightChars="200" w:firstLine="440"/>
              <w:rPr>
                <w:rFonts w:hint="default"/>
                <w:sz w:val="21"/>
                <w:szCs w:val="21"/>
                <w:lang w:val="en-US" w:eastAsia="zh-CN"/>
              </w:rPr>
            </w:pP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_Toc27493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ACKNOWLEDGEMENTS</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_Toc11488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ABSTRACT</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_Toc8763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摘要</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_Toc8945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CONTENT</w:t>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_Toc8945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LIST OF TABLES</w:t>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_Toc5100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 xml:space="preserve">Chapter One </w:t>
            </w:r>
            <w:r>
              <w:rPr>
                <w:rFonts w:hint="eastAsia" w:ascii="Times New Roman" w:hAnsi="Times New Roman" w:cs="Times New Roman"/>
                <w:sz w:val="21"/>
                <w:szCs w:val="21"/>
                <w:lang w:val="en-US" w:eastAsia="zh-CN"/>
              </w:rPr>
              <w:t>INTRODUC</w:t>
            </w:r>
            <w:r>
              <w:rPr>
                <w:rFonts w:hint="default" w:ascii="Times New Roman" w:hAnsi="Times New Roman" w:cs="Times New Roman"/>
                <w:sz w:val="21"/>
                <w:szCs w:val="21"/>
                <w:lang w:val="en-US" w:eastAsia="zh-CN"/>
              </w:rPr>
              <w:t>TION</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fldChar w:fldCharType="end"/>
            </w: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_Toc26456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_Toc15089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1.1 Introduction to the task</w:t>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_Toc21435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1.2 Introduction to the Interpreter</w:t>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1.3 Significance</w:t>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_Toc5896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1.</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 xml:space="preserve"> Outline of the </w:t>
            </w:r>
            <w:r>
              <w:rPr>
                <w:rFonts w:hint="eastAsia" w:ascii="Times New Roman" w:hAnsi="Times New Roman" w:cs="Times New Roman"/>
                <w:sz w:val="21"/>
                <w:szCs w:val="21"/>
                <w:lang w:val="en-US" w:eastAsia="zh-CN"/>
              </w:rPr>
              <w:t>R</w:t>
            </w:r>
            <w:r>
              <w:rPr>
                <w:rFonts w:hint="default" w:ascii="Times New Roman" w:hAnsi="Times New Roman" w:cs="Times New Roman"/>
                <w:sz w:val="21"/>
                <w:szCs w:val="21"/>
                <w:lang w:val="en-US" w:eastAsia="zh-CN"/>
              </w:rPr>
              <w:t>eport</w:t>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_Toc2771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Chapter Two PROCESS DESCRIPTION</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_Toc16266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2.1 Preparation before interpreting</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_Toc2128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2.2 Interpreting process</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_Toc10786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Chapter Three THEORETICAL FRAMEWORK</w:t>
            </w:r>
            <w:r>
              <w:rPr>
                <w:rFonts w:hint="default" w:ascii="Times New Roman" w:hAnsi="Times New Roman" w:cs="Times New Roman"/>
                <w:sz w:val="21"/>
                <w:szCs w:val="21"/>
                <w:lang w:val="en-US" w:eastAsia="zh-CN"/>
              </w:rPr>
              <w:fldChar w:fldCharType="end"/>
            </w:r>
            <w:r>
              <w:rPr>
                <w:rFonts w:hint="eastAsia" w:ascii="Times New Roman" w:hAnsi="Times New Roman" w:cs="Times New Roman"/>
                <w:sz w:val="21"/>
                <w:szCs w:val="21"/>
                <w:lang w:val="en-US" w:eastAsia="zh-CN"/>
              </w:rPr>
              <w:t xml:space="preserve"> AND LITERATURE REVIEW</w:t>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_Toc17335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 xml:space="preserve">3.1 </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fldChar w:fldCharType="end"/>
            </w:r>
            <w:r>
              <w:rPr>
                <w:rFonts w:hint="eastAsia" w:ascii="Times New Roman" w:hAnsi="Times New Roman" w:cs="Times New Roman"/>
                <w:sz w:val="21"/>
                <w:szCs w:val="21"/>
                <w:lang w:val="en-US" w:eastAsia="zh-CN"/>
              </w:rPr>
              <w:t>Theoretical Framework</w:t>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_Toc24965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 xml:space="preserve">3.2 </w:t>
            </w:r>
            <w:r>
              <w:rPr>
                <w:rFonts w:hint="default" w:ascii="Times New Roman" w:hAnsi="Times New Roman" w:cs="Times New Roman"/>
                <w:sz w:val="21"/>
                <w:szCs w:val="21"/>
                <w:lang w:val="en-US" w:eastAsia="zh-CN"/>
              </w:rPr>
              <w:fldChar w:fldCharType="end"/>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L</w:t>
            </w:r>
            <w:r>
              <w:rPr>
                <w:rFonts w:hint="eastAsia" w:ascii="Times New Roman" w:hAnsi="Times New Roman" w:cs="Times New Roman"/>
                <w:sz w:val="21"/>
                <w:szCs w:val="21"/>
                <w:lang w:val="en-US" w:eastAsia="zh-CN"/>
              </w:rPr>
              <w:t>iterature</w:t>
            </w:r>
            <w:r>
              <w:rPr>
                <w:rFonts w:hint="default" w:ascii="Times New Roman" w:hAnsi="Times New Roman" w:cs="Times New Roman"/>
                <w:sz w:val="21"/>
                <w:szCs w:val="21"/>
                <w:lang w:val="en-US" w:eastAsia="zh-CN"/>
              </w:rPr>
              <w:t xml:space="preserve"> R</w:t>
            </w:r>
            <w:r>
              <w:rPr>
                <w:rFonts w:hint="eastAsia" w:ascii="Times New Roman" w:hAnsi="Times New Roman" w:cs="Times New Roman"/>
                <w:sz w:val="21"/>
                <w:szCs w:val="21"/>
                <w:lang w:val="en-US" w:eastAsia="zh-CN"/>
              </w:rPr>
              <w:t>eview</w:t>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_Toc26125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Chapter Four CASE ANALYSIS</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_Toc22359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4.1 Collocation</w:t>
            </w:r>
            <w:r>
              <w:rPr>
                <w:rFonts w:hint="eastAsia" w:ascii="Times New Roman" w:hAnsi="Times New Roman" w:cs="Times New Roman"/>
                <w:sz w:val="21"/>
                <w:szCs w:val="21"/>
                <w:lang w:val="en-US" w:eastAsia="zh-CN"/>
              </w:rPr>
              <w:t>s</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_Toc21102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4.2 Prepositional</w:t>
            </w:r>
            <w:r>
              <w:rPr>
                <w:rFonts w:hint="eastAsia" w:ascii="Times New Roman" w:hAnsi="Times New Roman" w:cs="Times New Roman"/>
                <w:sz w:val="21"/>
                <w:szCs w:val="21"/>
                <w:lang w:val="en-US" w:eastAsia="zh-CN"/>
              </w:rPr>
              <w:t xml:space="preserve"> P</w:t>
            </w:r>
            <w:r>
              <w:rPr>
                <w:rFonts w:hint="default" w:ascii="Times New Roman" w:hAnsi="Times New Roman" w:cs="Times New Roman"/>
                <w:sz w:val="21"/>
                <w:szCs w:val="21"/>
                <w:lang w:val="en-US" w:eastAsia="zh-CN"/>
              </w:rPr>
              <w:t>hrase</w:t>
            </w:r>
            <w:r>
              <w:rPr>
                <w:rFonts w:hint="eastAsia" w:ascii="Times New Roman" w:hAnsi="Times New Roman" w:cs="Times New Roman"/>
                <w:sz w:val="21"/>
                <w:szCs w:val="21"/>
                <w:lang w:val="en-US" w:eastAsia="zh-CN"/>
              </w:rPr>
              <w:t>s</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_Toc19419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 xml:space="preserve">4.3 Dependent </w:t>
            </w:r>
            <w:r>
              <w:rPr>
                <w:rFonts w:hint="eastAsia" w:ascii="Times New Roman" w:hAnsi="Times New Roman" w:cs="Times New Roman"/>
                <w:sz w:val="21"/>
                <w:szCs w:val="21"/>
                <w:lang w:val="en-US" w:eastAsia="zh-CN"/>
              </w:rPr>
              <w:t>C</w:t>
            </w:r>
            <w:r>
              <w:rPr>
                <w:rFonts w:hint="default" w:ascii="Times New Roman" w:hAnsi="Times New Roman" w:cs="Times New Roman"/>
                <w:sz w:val="21"/>
                <w:szCs w:val="21"/>
                <w:lang w:val="en-US" w:eastAsia="zh-CN"/>
              </w:rPr>
              <w:t>lause</w:t>
            </w:r>
            <w:r>
              <w:rPr>
                <w:rFonts w:hint="eastAsia" w:ascii="Times New Roman" w:hAnsi="Times New Roman" w:cs="Times New Roman"/>
                <w:sz w:val="21"/>
                <w:szCs w:val="21"/>
                <w:lang w:val="en-US" w:eastAsia="zh-CN"/>
              </w:rPr>
              <w:t>s</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_Toc5099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Chapter Five CONCLUSION</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_Toc3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5.1 Findings</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_Toc8028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5.</w:t>
            </w:r>
            <w:r>
              <w:rPr>
                <w:rFonts w:hint="eastAsia" w:ascii="Times New Roman" w:hAnsi="Times New Roman" w:cs="Times New Roman"/>
                <w:sz w:val="21"/>
                <w:szCs w:val="21"/>
                <w:lang w:val="en-US" w:eastAsia="zh-CN"/>
              </w:rPr>
              <w:t>2</w:t>
            </w:r>
            <w:r>
              <w:rPr>
                <w:rFonts w:hint="default" w:ascii="Times New Roman" w:hAnsi="Times New Roman" w:cs="Times New Roman"/>
                <w:sz w:val="21"/>
                <w:szCs w:val="21"/>
                <w:lang w:val="en-US" w:eastAsia="zh-CN"/>
              </w:rPr>
              <w:t xml:space="preserve"> Limitations and Suggestions</w:t>
            </w:r>
            <w:r>
              <w:rPr>
                <w:rFonts w:hint="default"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_Toc10024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REFERENCES</w:t>
            </w:r>
            <w:r>
              <w:rPr>
                <w:rFonts w:hint="default" w:ascii="Times New Roman" w:hAnsi="Times New Roman" w:cs="Times New Roman"/>
                <w:sz w:val="21"/>
                <w:szCs w:val="21"/>
                <w:lang w:val="en-US" w:eastAsia="zh-CN"/>
              </w:rPr>
              <w:fldChar w:fldCharType="end"/>
            </w:r>
          </w:p>
          <w:p>
            <w:pPr>
              <w:numPr>
                <w:ilvl w:val="0"/>
                <w:numId w:val="0"/>
              </w:numPr>
              <w:bidi w:val="0"/>
              <w:ind w:leftChars="0"/>
              <w:jc w:val="left"/>
              <w:rPr>
                <w:rFonts w:hint="default" w:cs="宋体"/>
                <w:sz w:val="24"/>
                <w:szCs w:val="24"/>
                <w:lang w:val="en-US" w:eastAsia="zh-CN" w:bidi="ar-SA"/>
              </w:rPr>
            </w:pPr>
            <w:r>
              <w:rPr>
                <w:rFonts w:hint="default" w:ascii="Times New Roman" w:hAnsi="Times New Roman" w:cs="Times New Roman"/>
                <w:sz w:val="21"/>
                <w:szCs w:val="21"/>
                <w:lang w:val="en-US" w:eastAsia="zh-CN"/>
              </w:rPr>
              <w:fldChar w:fldCharType="begin"/>
            </w:r>
            <w:r>
              <w:rPr>
                <w:rFonts w:hint="default" w:ascii="Times New Roman" w:hAnsi="Times New Roman" w:cs="Times New Roman"/>
                <w:sz w:val="21"/>
                <w:szCs w:val="21"/>
                <w:lang w:val="en-US" w:eastAsia="zh-CN"/>
              </w:rPr>
              <w:instrText xml:space="preserve"> HYPERLINK \l _Toc21148 </w:instrText>
            </w:r>
            <w:r>
              <w:rPr>
                <w:rFonts w:hint="default" w:ascii="Times New Roman" w:hAnsi="Times New Roman" w:cs="Times New Roman"/>
                <w:sz w:val="21"/>
                <w:szCs w:val="21"/>
                <w:lang w:val="en-US" w:eastAsia="zh-CN"/>
              </w:rPr>
              <w:fldChar w:fldCharType="separate"/>
            </w:r>
            <w:r>
              <w:rPr>
                <w:rFonts w:hint="default" w:ascii="Times New Roman" w:hAnsi="Times New Roman" w:cs="Times New Roman"/>
                <w:sz w:val="21"/>
                <w:szCs w:val="21"/>
                <w:lang w:val="en-US" w:eastAsia="zh-CN"/>
              </w:rPr>
              <w:t>APPENDIX ORIGINAL TEXT AND TRANSLATION TEX</w:t>
            </w:r>
            <w:r>
              <w:rPr>
                <w:rFonts w:hint="eastAsia" w:ascii="Times New Roman" w:hAnsi="Times New Roman" w:cs="Times New Roman"/>
                <w:sz w:val="21"/>
                <w:szCs w:val="21"/>
                <w:lang w:val="en-US" w:eastAsia="zh-CN"/>
              </w:rPr>
              <w:t>T</w:t>
            </w:r>
            <w:r>
              <w:rPr>
                <w:rFonts w:hint="default" w:ascii="Times New Roman" w:hAnsi="Times New Roman" w:cs="Times New Roman"/>
                <w:sz w:val="21"/>
                <w:szCs w:val="21"/>
                <w:lang w:val="en-US" w:eastAsia="zh-CN"/>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203" w:hRule="atLeast"/>
          <w:jc w:val="center"/>
        </w:trPr>
        <w:tc>
          <w:tcPr>
            <w:tcW w:w="9605" w:type="dxa"/>
            <w:tcBorders>
              <w:top w:val="single" w:color="auto" w:sz="12" w:space="0"/>
              <w:bottom w:val="single" w:color="auto" w:sz="12" w:space="0"/>
            </w:tcBorders>
          </w:tcPr>
          <w:p>
            <w:pPr>
              <w:spacing w:before="156" w:beforeLines="50" w:line="360" w:lineRule="auto"/>
              <w:ind w:right="480" w:rightChars="200"/>
              <w:rPr>
                <w:b/>
                <w:spacing w:val="-10"/>
                <w:sz w:val="21"/>
                <w:szCs w:val="21"/>
              </w:rPr>
            </w:pPr>
            <w:r>
              <w:rPr>
                <w:rFonts w:hint="eastAsia"/>
                <w:b/>
                <w:spacing w:val="-10"/>
                <w:sz w:val="21"/>
                <w:szCs w:val="21"/>
              </w:rPr>
              <w:t>五、主要参考文献</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[1]Erin S. Isbilen, Morten H. Christiansen. (2020). Chunk‐Based Memory Constraints on the Cultural Evolution of Language. Topics in Cognitive Science.</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[2]Gilchrist Amanda L,Cowan Nelson,Naveh-Benjamin Moshe. (2009). Investigating the childhood development of working memory using sentences: new evidence for the growth of chunk capacity. Journal of experimental child psychology.</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[3]Hiroko Yamada. (2018). Validity of Note-taking for New Consecutive Interpreting Learners: An Empirical Study of University Interpretation Courses. Theory and Practice in Language Studies.</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[4]John T.E.Richardson. (2007). Measures of Short-term Memory: A Historical Review. Cortex.</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[5]Kleinberg J, Kaufman H. (1971). Constancy in short-term memory: bits and chunks. Journal of experimental psychology.</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 xml:space="preserve">[6]Lederer M. (1978). Simultaneous interpretation: Units of Meaning and other Features. Language, Interpretation and Communication. </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[7]Melissa D. Muller,Stephen B. Fountain. (2016). Concurrent cognitive processes in rat serial pattern learning: II. Discrimination learning, rule learning, chunk length, and multiple‐item memories. Journal of the Experimental Analysis of Behavior.</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[8]Mark Blair, Don Homa. (2003). As Easy to Memorize as They are to Classify: The 5–4 Categories and the Category Advantage. Memory &amp; Cognition.</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[9]Nelson Cowan. (2000). Processing Limits of Selective Attention and Working Memory-Potential Implications for Interpreting. Interpreting.</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[10]Stahl Aimee E, Feigenson Lisa. (2018). Infants use linguistic group distinctions to chunk items in memory. Journal of experimental child psychology.</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[11]Cui, J. X., &amp;Wu, Y. H., &amp;Liu, Y. F. [崔剑霞,吴艳红,刘艳芳], 2004, 短时记忆容量的重新思考,《北京大学学报(自然科学版)》(04): 676-682。</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[12]Fang, W. [方伟], 2013, 语块教学对听力“笔记”影响的实证研究, 《外国语文》(03):  148-151。</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[13]G. A. Miller, &amp;Lu, B. Z., &amp;Lu, B. F. [陆冰章,陆丙甫], 1983, 神奇的数字7±2: 人类信息加工能力的某些局限, 《心理学动态》(04): 53-65。</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[14]Kong, J. F. [孔菊芳], 2006, 从认知心理学的角度谈口译中的短时记忆, 《广西教育学院学报》 (04): 122-124。</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[15]Li, J. [李晶], 2017, 口译记忆研究综述, 《翻译界》(01):28-46+153-154。</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[16]Liu, H. P. [刘和平], 2017,《翻译学：口译理论和口译教育》。上海：复旦大学出版社。</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[17]Wang, F. [王非], 2017,《口译过程研究：记忆机制与信息加工模型》。北京：科学出版社。</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[18]Qin, Y. Q., &amp;He, Q. [秦亚青，何群]，2009，《英汉视译》。北京：外语教学与研究出版社。</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[19]Ren, W., &amp;He, Q. Z., &amp;Zhong, W. H.,&amp; Xu, J. [任文，何其莘，仲伟合，许钧], 2009, 交替传译。北京：外语教学与研究出版社。[20]Tang, Y. [唐媛], 2016, 交传第一阶段短期记忆与笔记的有机结合, 《文史博览(理论)》 (11):34-36。</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[21]Wang, H. P., &amp; Zheng, Y. X., &amp;Xu, H. M. [王厚平,郑雨轩,徐海铭], 2017, 工作记忆应用于口译研究综述,《外语研究》(05):70-74。</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[22]Wang, X. L. [王晓丽], 2004, 短时记忆一生发展的横断研究。硕士学位论文。华东师范大学。</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[23]Wang, X. L., &amp;Chen, G. P. [王晓丽,陈国鹏], 2002, 短时记忆研究的新进展,《心理科学》(05): 616-617。</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[24]Yu, B. L. [喻柏林], 1989, 语言单位大小在短时和长时记忆中的效应,《心理学报》(01):1-8。</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[25]Yu,B. L., &amp;Zhang, W. T., &amp;Jing, Q. C., &amp;Peng, R. X., &amp;Zhang, G. J., Simon, H·A. [喻柏林,张武田,荆其诚,彭瑞祥,张国骏,H·A·西蒙], 1990, 中英文语言材料的短时记忆容量, 《心理科学通讯》(06):32-37。</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[26]Yang, F., &amp;Kong, X. L. [杨芳,孔祥立], 2016, 交替传译中笔记法与短时记忆的互动与融合,《安徽文学(下半月)》(06): 100-101。</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[27]Zhang, W., &amp; Wang, K. F. [张威,王克非], 2007, 口译与工作记忆研究, 《外语与外语教学》(01):43-47。</w:t>
            </w:r>
          </w:p>
          <w:p>
            <w:pPr>
              <w:pStyle w:val="8"/>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[28]Zhang, W. T., &amp;Peng, R. X., &amp;Si, M. H. [张武田,彭瑞祥,司马贺], 1986, 汉语字词的短时记忆容量, 《心理学报》(02): 133-139。</w:t>
            </w:r>
          </w:p>
          <w:p>
            <w:pPr>
              <w:pStyle w:val="8"/>
              <w:rPr>
                <w:rFonts w:hint="eastAsia" w:ascii="Times New Roman" w:hAnsi="Times New Roman" w:cs="Times New Roman"/>
              </w:rPr>
            </w:pPr>
          </w:p>
          <w:p>
            <w:pPr>
              <w:pStyle w:val="8"/>
              <w:rPr>
                <w:rFonts w:hint="eastAsia" w:ascii="Times New Roman" w:hAnsi="Times New Roman" w:cs="Times New Roman"/>
              </w:rPr>
            </w:pPr>
          </w:p>
          <w:p>
            <w:pPr>
              <w:pStyle w:val="8"/>
              <w:rPr>
                <w:rFonts w:hint="eastAsia" w:ascii="Times New Roman" w:hAnsi="Times New Roman" w:cs="Times New Roman"/>
              </w:rPr>
            </w:pPr>
          </w:p>
          <w:p>
            <w:pPr>
              <w:pStyle w:val="8"/>
              <w:rPr>
                <w:rFonts w:hint="eastAsia" w:ascii="Times New Roman" w:hAnsi="Times New Roman" w:cs="Times New Roman"/>
              </w:rPr>
            </w:pPr>
          </w:p>
          <w:p>
            <w:pPr>
              <w:pStyle w:val="8"/>
              <w:rPr>
                <w:rFonts w:hint="eastAsia" w:ascii="Times New Roman" w:hAnsi="Times New Roman" w:cs="Times New Roman"/>
              </w:rPr>
            </w:pPr>
          </w:p>
          <w:p>
            <w:pPr>
              <w:pStyle w:val="8"/>
              <w:rPr>
                <w:rFonts w:hint="eastAsia" w:ascii="Times New Roman" w:hAnsi="Times New Roman" w:cs="Times New Roman"/>
              </w:rPr>
            </w:pPr>
          </w:p>
          <w:p>
            <w:pPr>
              <w:pStyle w:val="8"/>
              <w:rPr>
                <w:rFonts w:ascii="Times New Roman" w:hAnsi="Times New Roman" w:cs="Times New Roman"/>
              </w:rPr>
            </w:pPr>
          </w:p>
          <w:p>
            <w:pPr>
              <w:pStyle w:val="8"/>
              <w:rPr>
                <w:rFonts w:ascii="Times New Roman" w:hAnsi="Times New Roman" w:cs="Times New Roman"/>
              </w:rPr>
            </w:pPr>
          </w:p>
          <w:p>
            <w:pPr>
              <w:spacing w:line="459" w:lineRule="atLeast"/>
              <w:textAlignment w:val="top"/>
              <w:rPr>
                <w:rFonts w:ascii="Times New Roman" w:hAnsi="Times New Roman" w:cs="Times New Roman"/>
              </w:rPr>
            </w:pPr>
          </w:p>
          <w:p>
            <w:pPr>
              <w:spacing w:before="156" w:beforeLines="50" w:line="360" w:lineRule="auto"/>
              <w:ind w:left="480" w:leftChars="200" w:right="480" w:rightChars="200"/>
              <w:rPr>
                <w:b/>
                <w:spacing w:val="-10"/>
                <w:sz w:val="21"/>
                <w:szCs w:val="21"/>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610" w:hRule="atLeast"/>
          <w:jc w:val="center"/>
        </w:trPr>
        <w:tc>
          <w:tcPr>
            <w:tcW w:w="9605" w:type="dxa"/>
            <w:tcBorders>
              <w:top w:val="single" w:color="auto" w:sz="12" w:space="0"/>
              <w:bottom w:val="single" w:color="auto" w:sz="12" w:space="0"/>
            </w:tcBorders>
          </w:tcPr>
          <w:p>
            <w:pPr>
              <w:spacing w:before="156" w:beforeLines="50" w:line="360" w:lineRule="auto"/>
              <w:ind w:left="480" w:leftChars="200" w:right="480" w:rightChars="200"/>
              <w:rPr>
                <w:b/>
                <w:spacing w:val="-10"/>
                <w:sz w:val="21"/>
                <w:szCs w:val="21"/>
              </w:rPr>
            </w:pPr>
            <w:r>
              <w:rPr>
                <w:rFonts w:hint="eastAsia"/>
                <w:b/>
                <w:spacing w:val="-10"/>
                <w:sz w:val="21"/>
                <w:szCs w:val="21"/>
              </w:rPr>
              <w:t>七、导师意见</w:t>
            </w:r>
          </w:p>
          <w:p>
            <w:pPr>
              <w:spacing w:before="156" w:beforeLines="50"/>
              <w:ind w:left="480" w:leftChars="200"/>
              <w:rPr>
                <w:sz w:val="21"/>
                <w:szCs w:val="21"/>
              </w:rPr>
            </w:pPr>
          </w:p>
          <w:p>
            <w:pPr>
              <w:spacing w:before="156" w:beforeLines="50"/>
              <w:ind w:left="480" w:leftChars="200"/>
              <w:rPr>
                <w:sz w:val="21"/>
                <w:szCs w:val="21"/>
              </w:rPr>
            </w:pPr>
          </w:p>
          <w:p>
            <w:pPr>
              <w:rPr>
                <w:sz w:val="21"/>
                <w:szCs w:val="21"/>
              </w:rPr>
            </w:pPr>
          </w:p>
          <w:p>
            <w:pPr>
              <w:rPr>
                <w:sz w:val="21"/>
                <w:szCs w:val="21"/>
              </w:rPr>
            </w:pPr>
            <w:r>
              <w:rPr>
                <w:rFonts w:hint="eastAsia"/>
                <w:sz w:val="21"/>
                <w:szCs w:val="21"/>
              </w:rPr>
              <w:t xml:space="preserve">    导师（签名）：                                   日期：      年   月   日</w:t>
            </w:r>
          </w:p>
          <w:p>
            <w:pPr>
              <w:spacing w:before="312" w:beforeLines="100" w:after="156" w:afterLines="50" w:line="360" w:lineRule="auto"/>
              <w:ind w:right="480" w:rightChars="200" w:firstLine="420" w:firstLineChars="200"/>
              <w:rPr>
                <w:b/>
                <w:spacing w:val="-10"/>
                <w:sz w:val="21"/>
                <w:szCs w:val="21"/>
              </w:rPr>
            </w:pPr>
            <w:r>
              <w:rPr>
                <w:sz w:val="21"/>
                <w:szCs w:val="21"/>
              </w:rPr>
              <w:pict>
                <v:shape id="自选图形 10" o:spid="_x0000_s1029" o:spt="32" type="#_x0000_t32" style="position:absolute;left:0pt;margin-left:-4.35pt;margin-top:6.7pt;height:0pt;width:480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">
                  <v:path arrowok="t"/>
                  <v:fill on="f" focussize="0,0"/>
                  <v:stroke/>
                  <v:imagedata o:title=""/>
                  <o:lock v:ext="edit"/>
                </v:shape>
              </w:pict>
            </w:r>
            <w:r>
              <w:rPr>
                <w:rFonts w:hint="eastAsia"/>
                <w:b/>
                <w:spacing w:val="-10"/>
                <w:sz w:val="21"/>
                <w:szCs w:val="21"/>
              </w:rPr>
              <w:t>八、开题报告论证专家委员会组成情况</w:t>
            </w:r>
          </w:p>
          <w:tbl>
            <w:tblPr>
              <w:tblStyle w:val="10"/>
              <w:tblW w:w="93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
              <w:gridCol w:w="1418"/>
              <w:gridCol w:w="1261"/>
              <w:gridCol w:w="4040"/>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893" w:type="dxa"/>
                  <w:vAlign w:val="center"/>
                </w:tcPr>
                <w:p>
                  <w:pPr>
                    <w:jc w:val="center"/>
                    <w:rPr>
                      <w:sz w:val="21"/>
                      <w:szCs w:val="21"/>
                    </w:rPr>
                  </w:pPr>
                  <w:r>
                    <w:rPr>
                      <w:rFonts w:hint="eastAsia"/>
                      <w:sz w:val="21"/>
                      <w:szCs w:val="21"/>
                    </w:rPr>
                    <w:t>组成</w:t>
                  </w:r>
                </w:p>
              </w:tc>
              <w:tc>
                <w:tcPr>
                  <w:tcW w:w="1418" w:type="dxa"/>
                  <w:vAlign w:val="center"/>
                </w:tcPr>
                <w:p>
                  <w:pPr>
                    <w:jc w:val="center"/>
                    <w:rPr>
                      <w:sz w:val="21"/>
                      <w:szCs w:val="21"/>
                    </w:rPr>
                  </w:pPr>
                  <w:r>
                    <w:rPr>
                      <w:rFonts w:hint="eastAsia"/>
                      <w:sz w:val="21"/>
                      <w:szCs w:val="21"/>
                    </w:rPr>
                    <w:t>姓名</w:t>
                  </w:r>
                </w:p>
              </w:tc>
              <w:tc>
                <w:tcPr>
                  <w:tcW w:w="1261" w:type="dxa"/>
                  <w:vAlign w:val="center"/>
                </w:tcPr>
                <w:p>
                  <w:pPr>
                    <w:jc w:val="center"/>
                    <w:rPr>
                      <w:sz w:val="21"/>
                      <w:szCs w:val="21"/>
                    </w:rPr>
                  </w:pPr>
                  <w:r>
                    <w:rPr>
                      <w:rFonts w:hint="eastAsia"/>
                      <w:sz w:val="21"/>
                      <w:szCs w:val="21"/>
                    </w:rPr>
                    <w:t>职称</w:t>
                  </w:r>
                </w:p>
              </w:tc>
              <w:tc>
                <w:tcPr>
                  <w:tcW w:w="4040" w:type="dxa"/>
                  <w:vAlign w:val="center"/>
                </w:tcPr>
                <w:p>
                  <w:pPr>
                    <w:jc w:val="center"/>
                    <w:rPr>
                      <w:sz w:val="21"/>
                      <w:szCs w:val="21"/>
                    </w:rPr>
                  </w:pPr>
                  <w:r>
                    <w:rPr>
                      <w:rFonts w:hint="eastAsia"/>
                      <w:sz w:val="21"/>
                      <w:szCs w:val="21"/>
                    </w:rPr>
                    <w:t>所在单位</w:t>
                  </w:r>
                </w:p>
              </w:tc>
              <w:tc>
                <w:tcPr>
                  <w:tcW w:w="1757" w:type="dxa"/>
                  <w:vAlign w:val="center"/>
                </w:tcPr>
                <w:p>
                  <w:pPr>
                    <w:jc w:val="center"/>
                    <w:rPr>
                      <w:sz w:val="21"/>
                      <w:szCs w:val="21"/>
                    </w:rPr>
                  </w:pPr>
                  <w:r>
                    <w:rPr>
                      <w:rFonts w:hint="eastAsia"/>
                      <w:sz w:val="21"/>
                      <w:szCs w:val="21"/>
                    </w:rPr>
                    <w:t>本人签名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893" w:type="dxa"/>
                  <w:vAlign w:val="center"/>
                </w:tcPr>
                <w:p>
                  <w:pPr>
                    <w:jc w:val="center"/>
                    <w:rPr>
                      <w:sz w:val="21"/>
                      <w:szCs w:val="21"/>
                    </w:rPr>
                  </w:pPr>
                  <w:r>
                    <w:rPr>
                      <w:rFonts w:hint="eastAsia"/>
                      <w:sz w:val="21"/>
                      <w:szCs w:val="21"/>
                    </w:rPr>
                    <w:t>主席</w:t>
                  </w:r>
                </w:p>
              </w:tc>
              <w:tc>
                <w:tcPr>
                  <w:tcW w:w="1418" w:type="dxa"/>
                  <w:vAlign w:val="center"/>
                </w:tcPr>
                <w:p>
                  <w:pPr>
                    <w:jc w:val="center"/>
                    <w:rPr>
                      <w:sz w:val="21"/>
                      <w:szCs w:val="21"/>
                    </w:rPr>
                  </w:pPr>
                </w:p>
              </w:tc>
              <w:tc>
                <w:tcPr>
                  <w:tcW w:w="1261" w:type="dxa"/>
                  <w:vAlign w:val="center"/>
                </w:tcPr>
                <w:p>
                  <w:pPr>
                    <w:jc w:val="center"/>
                    <w:rPr>
                      <w:sz w:val="21"/>
                      <w:szCs w:val="21"/>
                    </w:rPr>
                  </w:pPr>
                </w:p>
              </w:tc>
              <w:tc>
                <w:tcPr>
                  <w:tcW w:w="4040" w:type="dxa"/>
                  <w:vAlign w:val="center"/>
                </w:tcPr>
                <w:p>
                  <w:pPr>
                    <w:jc w:val="center"/>
                    <w:rPr>
                      <w:sz w:val="21"/>
                      <w:szCs w:val="21"/>
                    </w:rPr>
                  </w:pPr>
                </w:p>
              </w:tc>
              <w:tc>
                <w:tcPr>
                  <w:tcW w:w="1757" w:type="dxa"/>
                  <w:vAlign w:val="center"/>
                </w:tcPr>
                <w:p>
                  <w:pPr>
                    <w:jc w:val="center"/>
                    <w:rPr>
                      <w:sz w:val="21"/>
                      <w:szCs w:val="21"/>
                    </w:rPr>
                  </w:pPr>
                </w:p>
              </w:tc>
            </w:tr>
            <w:tr>
              <w:tblPrEx>
                <w:tblCellMar>
                  <w:top w:w="0" w:type="dxa"/>
                  <w:left w:w="108" w:type="dxa"/>
                  <w:bottom w:w="0" w:type="dxa"/>
                  <w:right w:w="108" w:type="dxa"/>
                </w:tblCellMar>
              </w:tblPrEx>
              <w:trPr>
                <w:trHeight w:val="258" w:hRule="atLeast"/>
              </w:trPr>
              <w:tc>
                <w:tcPr>
                  <w:tcW w:w="893" w:type="dxa"/>
                  <w:vMerge w:val="restart"/>
                  <w:vAlign w:val="center"/>
                </w:tcPr>
                <w:p>
                  <w:pPr>
                    <w:jc w:val="center"/>
                    <w:rPr>
                      <w:sz w:val="21"/>
                      <w:szCs w:val="21"/>
                    </w:rPr>
                  </w:pPr>
                </w:p>
                <w:p>
                  <w:pPr>
                    <w:jc w:val="center"/>
                    <w:rPr>
                      <w:sz w:val="21"/>
                      <w:szCs w:val="21"/>
                    </w:rPr>
                  </w:pPr>
                  <w:r>
                    <w:rPr>
                      <w:rFonts w:hint="eastAsia"/>
                      <w:sz w:val="21"/>
                      <w:szCs w:val="21"/>
                    </w:rPr>
                    <w:t>成</w:t>
                  </w:r>
                </w:p>
                <w:p>
                  <w:pPr>
                    <w:jc w:val="center"/>
                    <w:rPr>
                      <w:sz w:val="21"/>
                      <w:szCs w:val="21"/>
                    </w:rPr>
                  </w:pPr>
                  <w:r>
                    <w:rPr>
                      <w:rFonts w:hint="eastAsia"/>
                      <w:sz w:val="21"/>
                      <w:szCs w:val="21"/>
                    </w:rPr>
                    <w:t>员</w:t>
                  </w:r>
                </w:p>
              </w:tc>
              <w:tc>
                <w:tcPr>
                  <w:tcW w:w="1418" w:type="dxa"/>
                  <w:vAlign w:val="center"/>
                </w:tcPr>
                <w:p>
                  <w:pPr>
                    <w:jc w:val="center"/>
                    <w:rPr>
                      <w:sz w:val="21"/>
                      <w:szCs w:val="21"/>
                    </w:rPr>
                  </w:pPr>
                </w:p>
              </w:tc>
              <w:tc>
                <w:tcPr>
                  <w:tcW w:w="1261" w:type="dxa"/>
                  <w:vAlign w:val="center"/>
                </w:tcPr>
                <w:p>
                  <w:pPr>
                    <w:jc w:val="center"/>
                    <w:rPr>
                      <w:sz w:val="21"/>
                      <w:szCs w:val="21"/>
                    </w:rPr>
                  </w:pPr>
                </w:p>
              </w:tc>
              <w:tc>
                <w:tcPr>
                  <w:tcW w:w="4040" w:type="dxa"/>
                  <w:vAlign w:val="center"/>
                </w:tcPr>
                <w:p>
                  <w:pPr>
                    <w:jc w:val="center"/>
                    <w:rPr>
                      <w:sz w:val="21"/>
                      <w:szCs w:val="21"/>
                    </w:rPr>
                  </w:pPr>
                </w:p>
              </w:tc>
              <w:tc>
                <w:tcPr>
                  <w:tcW w:w="1757"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893" w:type="dxa"/>
                  <w:vMerge w:val="continue"/>
                  <w:vAlign w:val="center"/>
                </w:tcPr>
                <w:p>
                  <w:pPr>
                    <w:jc w:val="center"/>
                    <w:rPr>
                      <w:sz w:val="21"/>
                      <w:szCs w:val="21"/>
                    </w:rPr>
                  </w:pPr>
                </w:p>
              </w:tc>
              <w:tc>
                <w:tcPr>
                  <w:tcW w:w="1418" w:type="dxa"/>
                  <w:vAlign w:val="center"/>
                </w:tcPr>
                <w:p>
                  <w:pPr>
                    <w:jc w:val="center"/>
                    <w:rPr>
                      <w:sz w:val="21"/>
                      <w:szCs w:val="21"/>
                    </w:rPr>
                  </w:pPr>
                </w:p>
              </w:tc>
              <w:tc>
                <w:tcPr>
                  <w:tcW w:w="1261" w:type="dxa"/>
                  <w:vAlign w:val="center"/>
                </w:tcPr>
                <w:p>
                  <w:pPr>
                    <w:jc w:val="center"/>
                    <w:rPr>
                      <w:sz w:val="21"/>
                      <w:szCs w:val="21"/>
                    </w:rPr>
                  </w:pPr>
                </w:p>
              </w:tc>
              <w:tc>
                <w:tcPr>
                  <w:tcW w:w="4040" w:type="dxa"/>
                  <w:vAlign w:val="center"/>
                </w:tcPr>
                <w:p>
                  <w:pPr>
                    <w:jc w:val="center"/>
                    <w:rPr>
                      <w:sz w:val="21"/>
                      <w:szCs w:val="21"/>
                    </w:rPr>
                  </w:pPr>
                </w:p>
              </w:tc>
              <w:tc>
                <w:tcPr>
                  <w:tcW w:w="1757"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893" w:type="dxa"/>
                  <w:vMerge w:val="continue"/>
                  <w:vAlign w:val="center"/>
                </w:tcPr>
                <w:p>
                  <w:pPr>
                    <w:jc w:val="center"/>
                    <w:rPr>
                      <w:sz w:val="21"/>
                      <w:szCs w:val="21"/>
                    </w:rPr>
                  </w:pPr>
                </w:p>
              </w:tc>
              <w:tc>
                <w:tcPr>
                  <w:tcW w:w="1418" w:type="dxa"/>
                  <w:vAlign w:val="center"/>
                </w:tcPr>
                <w:p>
                  <w:pPr>
                    <w:jc w:val="center"/>
                    <w:rPr>
                      <w:sz w:val="21"/>
                      <w:szCs w:val="21"/>
                    </w:rPr>
                  </w:pPr>
                </w:p>
              </w:tc>
              <w:tc>
                <w:tcPr>
                  <w:tcW w:w="1261" w:type="dxa"/>
                  <w:vAlign w:val="center"/>
                </w:tcPr>
                <w:p>
                  <w:pPr>
                    <w:jc w:val="center"/>
                    <w:rPr>
                      <w:sz w:val="21"/>
                      <w:szCs w:val="21"/>
                    </w:rPr>
                  </w:pPr>
                </w:p>
              </w:tc>
              <w:tc>
                <w:tcPr>
                  <w:tcW w:w="4040" w:type="dxa"/>
                  <w:vAlign w:val="center"/>
                </w:tcPr>
                <w:p>
                  <w:pPr>
                    <w:jc w:val="center"/>
                    <w:rPr>
                      <w:sz w:val="21"/>
                      <w:szCs w:val="21"/>
                    </w:rPr>
                  </w:pPr>
                </w:p>
              </w:tc>
              <w:tc>
                <w:tcPr>
                  <w:tcW w:w="1757" w:type="dxa"/>
                  <w:vAlign w:val="center"/>
                </w:tcPr>
                <w:p>
                  <w:pPr>
                    <w:jc w:val="center"/>
                    <w:rPr>
                      <w:sz w:val="21"/>
                      <w:szCs w:val="21"/>
                    </w:rPr>
                  </w:pPr>
                </w:p>
              </w:tc>
            </w:tr>
            <w:tr>
              <w:tblPrEx>
                <w:tblCellMar>
                  <w:top w:w="0" w:type="dxa"/>
                  <w:left w:w="108" w:type="dxa"/>
                  <w:bottom w:w="0" w:type="dxa"/>
                  <w:right w:w="108" w:type="dxa"/>
                </w:tblCellMar>
              </w:tblPrEx>
              <w:trPr>
                <w:trHeight w:val="258" w:hRule="atLeast"/>
              </w:trPr>
              <w:tc>
                <w:tcPr>
                  <w:tcW w:w="893" w:type="dxa"/>
                  <w:vMerge w:val="continue"/>
                  <w:vAlign w:val="center"/>
                </w:tcPr>
                <w:p>
                  <w:pPr>
                    <w:jc w:val="center"/>
                    <w:rPr>
                      <w:sz w:val="21"/>
                      <w:szCs w:val="21"/>
                    </w:rPr>
                  </w:pPr>
                </w:p>
              </w:tc>
              <w:tc>
                <w:tcPr>
                  <w:tcW w:w="1418" w:type="dxa"/>
                  <w:vAlign w:val="center"/>
                </w:tcPr>
                <w:p>
                  <w:pPr>
                    <w:jc w:val="center"/>
                    <w:rPr>
                      <w:sz w:val="21"/>
                      <w:szCs w:val="21"/>
                    </w:rPr>
                  </w:pPr>
                </w:p>
              </w:tc>
              <w:tc>
                <w:tcPr>
                  <w:tcW w:w="1261" w:type="dxa"/>
                  <w:vAlign w:val="center"/>
                </w:tcPr>
                <w:p>
                  <w:pPr>
                    <w:jc w:val="center"/>
                    <w:rPr>
                      <w:sz w:val="21"/>
                      <w:szCs w:val="21"/>
                    </w:rPr>
                  </w:pPr>
                </w:p>
              </w:tc>
              <w:tc>
                <w:tcPr>
                  <w:tcW w:w="4040" w:type="dxa"/>
                  <w:vAlign w:val="center"/>
                </w:tcPr>
                <w:p>
                  <w:pPr>
                    <w:jc w:val="center"/>
                    <w:rPr>
                      <w:sz w:val="21"/>
                      <w:szCs w:val="21"/>
                    </w:rPr>
                  </w:pPr>
                </w:p>
              </w:tc>
              <w:tc>
                <w:tcPr>
                  <w:tcW w:w="1757"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893" w:type="dxa"/>
                  <w:vAlign w:val="center"/>
                </w:tcPr>
                <w:p>
                  <w:pPr>
                    <w:jc w:val="center"/>
                    <w:rPr>
                      <w:sz w:val="21"/>
                      <w:szCs w:val="21"/>
                    </w:rPr>
                  </w:pPr>
                  <w:r>
                    <w:rPr>
                      <w:rFonts w:hint="eastAsia"/>
                      <w:sz w:val="21"/>
                      <w:szCs w:val="21"/>
                    </w:rPr>
                    <w:t>秘书</w:t>
                  </w:r>
                </w:p>
              </w:tc>
              <w:tc>
                <w:tcPr>
                  <w:tcW w:w="1418" w:type="dxa"/>
                  <w:vAlign w:val="center"/>
                </w:tcPr>
                <w:p>
                  <w:pPr>
                    <w:jc w:val="center"/>
                    <w:rPr>
                      <w:sz w:val="21"/>
                      <w:szCs w:val="21"/>
                    </w:rPr>
                  </w:pPr>
                </w:p>
              </w:tc>
              <w:tc>
                <w:tcPr>
                  <w:tcW w:w="1261" w:type="dxa"/>
                  <w:vAlign w:val="center"/>
                </w:tcPr>
                <w:p>
                  <w:pPr>
                    <w:jc w:val="center"/>
                    <w:rPr>
                      <w:sz w:val="21"/>
                      <w:szCs w:val="21"/>
                    </w:rPr>
                  </w:pPr>
                </w:p>
              </w:tc>
              <w:tc>
                <w:tcPr>
                  <w:tcW w:w="4040" w:type="dxa"/>
                  <w:vAlign w:val="center"/>
                </w:tcPr>
                <w:p>
                  <w:pPr>
                    <w:jc w:val="center"/>
                    <w:rPr>
                      <w:sz w:val="21"/>
                      <w:szCs w:val="21"/>
                    </w:rPr>
                  </w:pPr>
                </w:p>
              </w:tc>
              <w:tc>
                <w:tcPr>
                  <w:tcW w:w="1757" w:type="dxa"/>
                  <w:vAlign w:val="center"/>
                </w:tcPr>
                <w:p>
                  <w:pPr>
                    <w:jc w:val="center"/>
                    <w:rPr>
                      <w:sz w:val="21"/>
                      <w:szCs w:val="21"/>
                    </w:rPr>
                  </w:pPr>
                </w:p>
              </w:tc>
            </w:tr>
          </w:tbl>
          <w:p>
            <w:pPr>
              <w:spacing w:before="156" w:beforeLines="50" w:after="312" w:afterLines="100" w:line="360" w:lineRule="auto"/>
              <w:ind w:left="480" w:leftChars="200" w:right="480" w:rightChars="200"/>
              <w:rPr>
                <w:b/>
                <w:spacing w:val="-10"/>
                <w:sz w:val="21"/>
                <w:szCs w:val="21"/>
              </w:rPr>
            </w:pPr>
            <w:r>
              <w:rPr>
                <w:sz w:val="21"/>
                <w:szCs w:val="21"/>
              </w:rPr>
              <w:pict>
                <v:shape id="自选图形 16" o:spid="_x0000_s1028" o:spt="32" type="#_x0000_t32" style="position:absolute;left:0pt;margin-left:-4.35pt;margin-top:17.4pt;height:0pt;width:479.2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">
                  <v:path arrowok="t"/>
                  <v:fill on="f" focussize="0,0"/>
                  <v:stroke/>
                  <v:imagedata o:title=""/>
                  <o:lock v:ext="edit"/>
                </v:shape>
              </w:pict>
            </w:r>
          </w:p>
          <w:p>
            <w:pPr>
              <w:spacing w:before="156" w:beforeLines="50" w:after="156" w:afterLines="50" w:line="360" w:lineRule="auto"/>
              <w:ind w:left="480" w:leftChars="200" w:right="480" w:rightChars="200"/>
              <w:rPr>
                <w:b/>
                <w:spacing w:val="-10"/>
                <w:sz w:val="21"/>
                <w:szCs w:val="21"/>
              </w:rPr>
            </w:pPr>
            <w:r>
              <w:rPr>
                <w:rFonts w:hint="eastAsia"/>
                <w:b/>
                <w:spacing w:val="-10"/>
                <w:sz w:val="21"/>
                <w:szCs w:val="21"/>
              </w:rPr>
              <w:t>九、开题报告评议结果</w:t>
            </w:r>
          </w:p>
          <w:p>
            <w:pPr>
              <w:spacing w:before="156" w:beforeLines="50"/>
              <w:ind w:left="480" w:leftChars="200"/>
              <w:rPr>
                <w:sz w:val="21"/>
                <w:szCs w:val="21"/>
              </w:rPr>
            </w:pPr>
            <w:r>
              <w:rPr>
                <w:rFonts w:hint="eastAsia"/>
                <w:sz w:val="21"/>
                <w:szCs w:val="21"/>
              </w:rPr>
              <w:t>开题报告论证小组意见：（重点对选题的新颖性与可行性作出简要评价）</w:t>
            </w:r>
          </w:p>
          <w:p>
            <w:pPr>
              <w:spacing w:before="156" w:beforeLines="50" w:line="360" w:lineRule="auto"/>
              <w:ind w:left="480" w:leftChars="200" w:right="480" w:rightChars="200"/>
              <w:rPr>
                <w:sz w:val="21"/>
                <w:szCs w:val="21"/>
              </w:rPr>
            </w:pPr>
          </w:p>
          <w:p>
            <w:pPr>
              <w:spacing w:before="156" w:beforeLines="50" w:line="360" w:lineRule="auto"/>
              <w:ind w:left="480" w:leftChars="200" w:right="480" w:rightChars="200"/>
              <w:rPr>
                <w:sz w:val="21"/>
                <w:szCs w:val="21"/>
              </w:rPr>
            </w:pPr>
          </w:p>
          <w:p>
            <w:pPr>
              <w:spacing w:before="156" w:beforeLines="50" w:line="360" w:lineRule="auto"/>
              <w:ind w:left="480" w:leftChars="200" w:right="480" w:rightChars="200"/>
              <w:rPr>
                <w:sz w:val="21"/>
                <w:szCs w:val="21"/>
              </w:rPr>
            </w:pPr>
          </w:p>
          <w:p>
            <w:pPr>
              <w:spacing w:before="156" w:beforeLines="50" w:line="360" w:lineRule="auto"/>
              <w:ind w:left="480" w:leftChars="200" w:right="480" w:rightChars="200"/>
              <w:rPr>
                <w:sz w:val="21"/>
                <w:szCs w:val="21"/>
              </w:rPr>
            </w:pPr>
          </w:p>
          <w:p>
            <w:pPr>
              <w:spacing w:before="156" w:beforeLines="50" w:line="360" w:lineRule="auto"/>
              <w:ind w:left="480" w:leftChars="200" w:right="480" w:rightChars="200"/>
              <w:rPr>
                <w:sz w:val="21"/>
                <w:szCs w:val="21"/>
              </w:rPr>
            </w:pPr>
            <w:r>
              <w:rPr>
                <w:rFonts w:hint="eastAsia"/>
                <w:sz w:val="21"/>
                <w:szCs w:val="21"/>
              </w:rPr>
              <w:t>主席（签名）：</w:t>
            </w:r>
            <w:r>
              <w:rPr>
                <w:sz w:val="21"/>
                <w:szCs w:val="21"/>
              </w:rPr>
              <w:pict>
                <v:shape id="自选图形 18" o:spid="_x0000_s1027" o:spt="32" type="#_x0000_t32" style="position:absolute;left:0pt;margin-left:-4.35pt;margin-top:28.55pt;height:0pt;width:479.25pt;z-index:251661312;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">
                  <v:path arrowok="t"/>
                  <v:fill on="f" focussize="0,0"/>
                  <v:stroke/>
                  <v:imagedata o:title=""/>
                  <o:lock v:ext="edit"/>
                </v:shape>
              </w:pict>
            </w:r>
            <w:r>
              <w:rPr>
                <w:rFonts w:hint="eastAsia"/>
                <w:sz w:val="21"/>
                <w:szCs w:val="21"/>
              </w:rPr>
              <w:t xml:space="preserve">                                    日期：      年   月   日</w:t>
            </w:r>
          </w:p>
          <w:p>
            <w:pPr>
              <w:spacing w:before="312" w:beforeLines="100" w:line="360" w:lineRule="auto"/>
              <w:ind w:left="480" w:leftChars="200" w:right="480" w:rightChars="200"/>
              <w:rPr>
                <w:sz w:val="21"/>
                <w:szCs w:val="21"/>
              </w:rPr>
            </w:pPr>
            <w:r>
              <w:rPr>
                <w:rFonts w:hint="eastAsia"/>
                <w:b/>
                <w:spacing w:val="-10"/>
                <w:sz w:val="21"/>
                <w:szCs w:val="21"/>
              </w:rPr>
              <w:t>分学位委员会意见</w:t>
            </w:r>
          </w:p>
          <w:p>
            <w:pPr>
              <w:spacing w:before="156" w:beforeLines="50" w:line="360" w:lineRule="auto"/>
              <w:ind w:right="480" w:rightChars="200"/>
              <w:rPr>
                <w:sz w:val="21"/>
                <w:szCs w:val="21"/>
              </w:rPr>
            </w:pPr>
          </w:p>
          <w:p>
            <w:pPr>
              <w:spacing w:before="156" w:beforeLines="50" w:line="360" w:lineRule="auto"/>
              <w:ind w:right="480" w:rightChars="200"/>
              <w:rPr>
                <w:sz w:val="21"/>
                <w:szCs w:val="21"/>
              </w:rPr>
            </w:pPr>
          </w:p>
          <w:p>
            <w:pPr>
              <w:spacing w:before="156" w:beforeLines="50" w:line="360" w:lineRule="auto"/>
              <w:ind w:right="480" w:rightChars="200"/>
              <w:rPr>
                <w:sz w:val="21"/>
                <w:szCs w:val="21"/>
              </w:rPr>
            </w:pPr>
          </w:p>
          <w:p>
            <w:pPr>
              <w:spacing w:before="156" w:beforeLines="50" w:line="360" w:lineRule="auto"/>
              <w:ind w:left="480" w:leftChars="200" w:right="480" w:rightChars="200"/>
              <w:rPr>
                <w:sz w:val="21"/>
                <w:szCs w:val="21"/>
              </w:rPr>
            </w:pPr>
            <w:r>
              <w:rPr>
                <w:rFonts w:hint="eastAsia"/>
                <w:sz w:val="21"/>
                <w:szCs w:val="21"/>
              </w:rPr>
              <w:t>主任（签名）：               公章                  日期：      年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201" w:hRule="atLeast"/>
          <w:jc w:val="center"/>
        </w:trPr>
        <w:tc>
          <w:tcPr>
            <w:tcW w:w="9605" w:type="dxa"/>
            <w:tcBorders>
              <w:top w:val="single" w:color="auto" w:sz="12" w:space="0"/>
              <w:bottom w:val="single" w:color="auto" w:sz="12" w:space="0"/>
            </w:tcBorders>
          </w:tcPr>
          <w:p>
            <w:pPr>
              <w:spacing w:before="156" w:beforeLines="50" w:line="360" w:lineRule="auto"/>
              <w:ind w:right="480" w:rightChars="200"/>
              <w:rPr>
                <w:rFonts w:hint="eastAsia"/>
                <w:spacing w:val="-10"/>
                <w:sz w:val="21"/>
                <w:szCs w:val="21"/>
              </w:rPr>
            </w:pPr>
            <w:r>
              <w:rPr>
                <w:rFonts w:hint="eastAsia"/>
                <w:b/>
                <w:spacing w:val="-10"/>
                <w:sz w:val="21"/>
                <w:szCs w:val="21"/>
              </w:rPr>
              <w:t xml:space="preserve">附： </w:t>
            </w:r>
            <w:r>
              <w:rPr>
                <w:rFonts w:hint="eastAsia"/>
                <w:spacing w:val="-10"/>
                <w:sz w:val="21"/>
                <w:szCs w:val="21"/>
              </w:rPr>
              <w:t>（根据论文形式，附上已经翻译的内容、或前期的调研、或前期的实验准备、或其他相关内容）</w:t>
            </w:r>
          </w:p>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GLOSSARY</w:t>
            </w:r>
          </w:p>
          <w:tbl>
            <w:tblPr>
              <w:tblStyle w:val="1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morphing wing</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变形翼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nitrogen-power turbine engine</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氮动力涡轮机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 xml:space="preserve">UAVs      </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无人机（Unmanned Aerial Vehicle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BVLOS</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超视距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avionics</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航空电子设备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collision-avoidance</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防撞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aerial delivery</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空运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Hybrid Camera</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混合相机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weather resistant enclosure</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防风防雨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video transmission</w:t>
                  </w:r>
                  <w:bookmarkStart w:id="0" w:name="_ftnref3"/>
                  <w:r>
                    <w:rPr>
                      <w:rFonts w:hint="default" w:ascii="Times New Roman" w:hAnsi="Times New Roman" w:cs="Times New Roman"/>
                      <w:spacing w:val="-10"/>
                      <w:sz w:val="21"/>
                      <w:szCs w:val="21"/>
                      <w:lang w:val="en-US" w:eastAsia="zh-CN"/>
                    </w:rPr>
                    <w:fldChar w:fldCharType="begin"/>
                  </w:r>
                  <w:r>
                    <w:rPr>
                      <w:rFonts w:hint="default" w:ascii="Times New Roman" w:hAnsi="Times New Roman" w:cs="Times New Roman"/>
                      <w:spacing w:val="-10"/>
                      <w:sz w:val="21"/>
                      <w:szCs w:val="21"/>
                      <w:lang w:val="en-US" w:eastAsia="zh-CN"/>
                    </w:rPr>
                    <w:instrText xml:space="preserve"> HYPERLINK "https://www.dji.com/newsroom/news/matrice-300-rtk-zenmuse-h20-series" \l "_ftn3" \o "" </w:instrText>
                  </w:r>
                  <w:r>
                    <w:rPr>
                      <w:rFonts w:hint="default" w:ascii="Times New Roman" w:hAnsi="Times New Roman" w:cs="Times New Roman"/>
                      <w:spacing w:val="-10"/>
                      <w:sz w:val="21"/>
                      <w:szCs w:val="21"/>
                      <w:lang w:val="en-US" w:eastAsia="zh-CN"/>
                    </w:rPr>
                    <w:fldChar w:fldCharType="separate"/>
                  </w:r>
                  <w:bookmarkEnd w:id="0"/>
                  <w:r>
                    <w:rPr>
                      <w:rFonts w:hint="default" w:ascii="Times New Roman" w:hAnsi="Times New Roman" w:cs="Times New Roman"/>
                      <w:spacing w:val="-10"/>
                      <w:sz w:val="21"/>
                      <w:szCs w:val="21"/>
                      <w:lang w:val="en-US" w:eastAsia="zh-CN"/>
                    </w:rPr>
                    <w:fldChar w:fldCharType="end"/>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视频传输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payload</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有效负荷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synchronize</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同步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waypoint inspection</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航路点检查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telemetry data</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遥测数据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flight trajectory</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飞行轨道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situational awareness</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态势感知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Dual Operator Mode</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双操作员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uplink</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bookmarkStart w:id="1" w:name="OLE_LINK1"/>
                  <w:r>
                    <w:rPr>
                      <w:rFonts w:hint="default" w:ascii="Times New Roman" w:hAnsi="Times New Roman" w:cs="Times New Roman"/>
                      <w:spacing w:val="-10"/>
                      <w:sz w:val="21"/>
                      <w:szCs w:val="21"/>
                      <w:lang w:val="en-US" w:eastAsia="zh-CN"/>
                    </w:rPr>
                    <w:t>从地面传输</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downlink</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向地面传输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multiple layers of visions</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多层次视觉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thermal sensitivity</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热敏性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fps</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每秒帧数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zooming in and out</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缩放和放大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thermal cameras</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热感摄像机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time sensitive missions</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时效性任务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custom grid</w:t>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自定义网格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fldChar w:fldCharType="begin"/>
                  </w:r>
                  <w:r>
                    <w:rPr>
                      <w:rFonts w:hint="default" w:ascii="Times New Roman" w:hAnsi="Times New Roman" w:cs="Times New Roman"/>
                      <w:spacing w:val="-10"/>
                      <w:sz w:val="21"/>
                      <w:szCs w:val="21"/>
                      <w:lang w:val="en-US" w:eastAsia="zh-CN"/>
                    </w:rPr>
                    <w:instrText xml:space="preserve"> HYPERLINK "https://www.dji.com/products/professional?site=brandsite&amp;from=nav" \l "camera-gimbal" \t "https://www.dji.com/_self" </w:instrText>
                  </w:r>
                  <w:r>
                    <w:rPr>
                      <w:rFonts w:hint="default" w:ascii="Times New Roman" w:hAnsi="Times New Roman" w:cs="Times New Roman"/>
                      <w:spacing w:val="-10"/>
                      <w:sz w:val="21"/>
                      <w:szCs w:val="21"/>
                      <w:lang w:val="en-US" w:eastAsia="zh-CN"/>
                    </w:rPr>
                    <w:fldChar w:fldCharType="separate"/>
                  </w:r>
                  <w:r>
                    <w:rPr>
                      <w:rFonts w:hint="default" w:ascii="Times New Roman" w:hAnsi="Times New Roman" w:cs="Times New Roman"/>
                      <w:spacing w:val="-10"/>
                      <w:sz w:val="21"/>
                      <w:szCs w:val="21"/>
                      <w:lang w:val="en-US" w:eastAsia="zh-CN"/>
                    </w:rPr>
                    <w:t>gimbal cameras</w:t>
                  </w:r>
                  <w:r>
                    <w:rPr>
                      <w:rFonts w:hint="default" w:ascii="Times New Roman" w:hAnsi="Times New Roman" w:cs="Times New Roman"/>
                      <w:spacing w:val="-10"/>
                      <w:sz w:val="21"/>
                      <w:szCs w:val="21"/>
                      <w:lang w:val="en-US" w:eastAsia="zh-CN"/>
                    </w:rPr>
                    <w:fldChar w:fldCharType="end"/>
                  </w:r>
                </w:p>
              </w:tc>
              <w:tc>
                <w:tcPr>
                  <w:tcW w:w="4261" w:type="dxa"/>
                  <w:vAlign w:val="top"/>
                </w:tcPr>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常平架相机</w:t>
                  </w:r>
                </w:p>
              </w:tc>
            </w:tr>
          </w:tbl>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BACKGROUND OF SPEAKERS</w:t>
            </w:r>
          </w:p>
          <w:p>
            <w:pPr>
              <w:spacing w:before="156" w:beforeLines="50" w:line="360" w:lineRule="auto"/>
              <w:ind w:right="480" w:rightChars="200"/>
              <w:rPr>
                <w:rFonts w:hint="default" w:ascii="Times New Roman" w:hAnsi="Times New Roman" w:cs="Times New Roman"/>
                <w:spacing w:val="-10"/>
                <w:sz w:val="21"/>
                <w:szCs w:val="21"/>
                <w:lang w:val="en-US" w:eastAsia="zh-CN"/>
              </w:rPr>
            </w:pPr>
            <w:r>
              <w:rPr>
                <w:rFonts w:hint="default" w:ascii="Times New Roman" w:hAnsi="Times New Roman" w:cs="Times New Roman"/>
                <w:b/>
                <w:bCs/>
                <w:spacing w:val="-10"/>
                <w:sz w:val="21"/>
                <w:szCs w:val="21"/>
                <w:lang w:val="en-US" w:eastAsia="zh-CN"/>
              </w:rPr>
              <w:t>Moderator</w:t>
            </w:r>
            <w:r>
              <w:rPr>
                <w:rFonts w:hint="default" w:ascii="Times New Roman" w:hAnsi="Times New Roman" w:cs="Times New Roman"/>
                <w:spacing w:val="-10"/>
                <w:sz w:val="21"/>
                <w:szCs w:val="21"/>
                <w:lang w:val="en-US" w:eastAsia="zh-CN"/>
              </w:rPr>
              <w:t xml:space="preserve"> </w:t>
            </w:r>
          </w:p>
          <w:p>
            <w:pPr>
              <w:spacing w:before="156" w:beforeLines="50" w:line="360" w:lineRule="auto"/>
              <w:ind w:right="480" w:rightChars="200"/>
              <w:jc w:val="both"/>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Danielle Gagne, Editorial Analyst, Commercial UAV News. Danielle comes to Commercial UAV News from an editorial background in higher education publishing where she edited books on every topic from financial risk management to nanotechnology and morphing wing technology. During that time, she reported and conveyed the business needs and expectations between all points of her organization and the technology team, working closely with IT development. This skillset led her to Diversified Communications and the commercial UAV industry, where she is excited to be able continue to report important technology news and developments to a wider audience.</w:t>
            </w:r>
          </w:p>
          <w:p>
            <w:pPr>
              <w:spacing w:before="156" w:beforeLines="50" w:line="360" w:lineRule="auto"/>
              <w:ind w:right="480" w:rightChars="200"/>
              <w:jc w:val="both"/>
              <w:rPr>
                <w:rFonts w:hint="default" w:ascii="Times New Roman" w:hAnsi="Times New Roman" w:cs="Times New Roman"/>
                <w:b/>
                <w:bCs/>
                <w:spacing w:val="-10"/>
                <w:sz w:val="21"/>
                <w:szCs w:val="21"/>
                <w:lang w:val="en-US" w:eastAsia="zh-CN"/>
              </w:rPr>
            </w:pPr>
            <w:r>
              <w:rPr>
                <w:rFonts w:hint="default" w:ascii="Times New Roman" w:hAnsi="Times New Roman" w:cs="Times New Roman"/>
                <w:b/>
                <w:bCs/>
                <w:spacing w:val="-10"/>
                <w:sz w:val="21"/>
                <w:szCs w:val="21"/>
                <w:lang w:val="en-US" w:eastAsia="zh-CN"/>
              </w:rPr>
              <w:t>Speakers</w:t>
            </w:r>
          </w:p>
          <w:p>
            <w:pPr>
              <w:spacing w:before="156" w:beforeLines="50" w:line="360" w:lineRule="auto"/>
              <w:ind w:right="480" w:rightChars="200"/>
              <w:jc w:val="both"/>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Michael Healander, President &amp; CEO, Airspace Link, Inc.As President &amp; CEO of Airspace Link, Inc. Michael Healander is responsible for running all facets of the business. Michael has a proven executive management track record and 15 years of experience driving growth in the technology industry. Michael has 20 years of experience in spatial technology, 12 years in state &amp; local government, 7 years in the commercial and retail industry, 2 years in Federal (DoD).</w:t>
            </w:r>
          </w:p>
          <w:p>
            <w:pPr>
              <w:spacing w:before="156" w:beforeLines="50" w:line="360" w:lineRule="auto"/>
              <w:ind w:right="480" w:rightChars="200"/>
              <w:jc w:val="both"/>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Alexander Harmsen,CEO &amp; Co-Founder, Iris Automation. Alexander Harmsen is CEO and Co-Founder of Iris Automation, a computer vision and safety avionics company building collision-avoidance systems for drones. Prior to founding Iris Automation, he was the first software developer at urban aerial delivery company Matternet, and he built computer vision systems at NASA's Jet Propulsion Lab. Harmsen also served on the Board of Directors for Unmanned Systems Canada. Alex was recognized by CNBC as an UpStart100 leader in 2019, and speaks frequently on the future of UAVs and real-world Beyond Visual Line of Sight (BVLOS) applications that will positively impact billions of people.</w:t>
            </w:r>
          </w:p>
          <w:p>
            <w:pPr>
              <w:spacing w:before="156" w:beforeLines="50" w:line="360" w:lineRule="auto"/>
              <w:ind w:right="480" w:rightChars="200"/>
              <w:jc w:val="both"/>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Ed De Reyes, Chairman and CEO, Sabrewing Aircraft Company, Inc.Ed is a retired Air Force veteran, serial entrepreneur and inventor, with several patents and patents-pending to his name. Several of the key technologies that Ed has developed are directly related to the field of aviation – including a patent for a unique nitrogen-power turbine engine that does not combust any fuel at all.Ed is a commercial, multi-engine and instrument rated pilot, and in February 2018, Ed retired manned flight test, having worked for several companies, including McDonnell Douglas, Aerotest, General Dynamics, Northrop Grumman, Cobalt, Elytron, and Moller International to name a few. Ed serves as a Voting Member of the American Standards of Testing and Materials (ASTM) in Aircraft Certification Standards, and has been a member of the Society of Flight Test Engineers for over 30 years.</w:t>
            </w:r>
          </w:p>
          <w:p>
            <w:pPr>
              <w:spacing w:before="156" w:beforeLines="50" w:line="360" w:lineRule="auto"/>
              <w:ind w:right="480" w:rightChars="200"/>
              <w:jc w:val="both"/>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Matt Fanelli, Director of Strategy and Operations, Skyward, A Verizon Company. Matt is the Director of Strategy and Operations at Skyward, A Verizon company. In this role, he leads the company's policy and regulatory efforts by working with the FAA on the Low Altitude Authorization and Notification Capability (LAANC) and on the recent Remote Identification and Tracking ARC as well as serving on numerous UAS committees. Additionally, Matt leads Skyward's day to day financial operations and strategic partnerships. He is a member of the Washington state bar, loves the outdoors, and has an unhealthy obsession with baseball.</w:t>
            </w:r>
          </w:p>
          <w:p>
            <w:pPr>
              <w:spacing w:before="156" w:beforeLines="50" w:line="360" w:lineRule="auto"/>
              <w:ind w:right="480" w:rightChars="200"/>
              <w:jc w:val="both"/>
              <w:rPr>
                <w:rFonts w:hint="default" w:ascii="Times New Roman" w:hAnsi="Times New Roman" w:cs="Times New Roman"/>
                <w:spacing w:val="-10"/>
                <w:sz w:val="21"/>
                <w:szCs w:val="21"/>
                <w:lang w:val="en-US" w:eastAsia="zh-CN"/>
              </w:rPr>
            </w:pPr>
            <w:r>
              <w:rPr>
                <w:rFonts w:hint="default" w:ascii="Times New Roman" w:hAnsi="Times New Roman" w:cs="Times New Roman"/>
                <w:spacing w:val="-10"/>
                <w:sz w:val="21"/>
                <w:szCs w:val="21"/>
                <w:lang w:val="en-US" w:eastAsia="zh-CN"/>
              </w:rPr>
              <w:t>Dan Czerwonka, Head of Global Regulatory Affairs, Zipline.As Head of Global Regulatory Affairs, Dan manages Zipline’s integration into the national airspace of countries around the world in order to deliver critical medical supplies to thousands of health facilities around the world. He enjoys collaborating with and educating national regulators to develop comprehensive pathways to safe and efficient UAS airspace integration. He recently secured the world's first regulatory approvals to transport hazardous Covid-19 test samples via drone and to conduct BVLOS commercial operations over urban areas and within international airport keep-out zones. Dan is a graduate of Georgetown University Law School, an alumnus of America’s oldest law firm, and holds three US State Bar licenses, as well as an FAA sUAS drone operator license.</w:t>
            </w:r>
          </w:p>
          <w:p>
            <w:pPr>
              <w:spacing w:before="156" w:beforeLines="50" w:line="360" w:lineRule="auto"/>
              <w:ind w:right="480" w:rightChars="200"/>
              <w:jc w:val="both"/>
              <w:rPr>
                <w:rFonts w:hint="default" w:ascii="Times New Roman" w:hAnsi="Times New Roman" w:cs="Times New Roman"/>
                <w:spacing w:val="-10"/>
                <w:sz w:val="21"/>
                <w:szCs w:val="21"/>
                <w:lang w:val="en-US" w:eastAsia="zh-CN"/>
              </w:rPr>
            </w:pPr>
          </w:p>
          <w:p>
            <w:pPr>
              <w:spacing w:before="156" w:beforeLines="50" w:line="360" w:lineRule="auto"/>
              <w:ind w:right="480" w:rightChars="200"/>
              <w:jc w:val="both"/>
              <w:rPr>
                <w:rFonts w:hint="default" w:ascii="Times New Roman" w:hAnsi="Times New Roman" w:cs="Times New Roman"/>
                <w:spacing w:val="-10"/>
                <w:sz w:val="21"/>
                <w:szCs w:val="21"/>
                <w:lang w:val="en-US" w:eastAsia="zh-CN"/>
              </w:rPr>
            </w:pPr>
          </w:p>
          <w:p>
            <w:pPr>
              <w:spacing w:before="156" w:beforeLines="50" w:line="360" w:lineRule="auto"/>
              <w:ind w:right="480" w:rightChars="200"/>
              <w:jc w:val="both"/>
              <w:rPr>
                <w:rFonts w:hint="default" w:ascii="Times New Roman" w:hAnsi="Times New Roman" w:cs="Times New Roman"/>
                <w:spacing w:val="-10"/>
                <w:sz w:val="21"/>
                <w:szCs w:val="21"/>
                <w:lang w:val="en-US" w:eastAsia="zh-CN"/>
              </w:rPr>
            </w:pPr>
          </w:p>
          <w:p>
            <w:pPr>
              <w:spacing w:before="156" w:beforeLines="50" w:line="360" w:lineRule="auto"/>
              <w:ind w:right="480" w:rightChars="200"/>
              <w:jc w:val="both"/>
              <w:rPr>
                <w:rFonts w:hint="default" w:ascii="Times New Roman" w:hAnsi="Times New Roman" w:cs="Times New Roman"/>
                <w:spacing w:val="-10"/>
                <w:sz w:val="21"/>
                <w:szCs w:val="21"/>
                <w:lang w:val="en-US" w:eastAsia="zh-CN"/>
              </w:rPr>
            </w:pPr>
          </w:p>
          <w:p>
            <w:pPr>
              <w:spacing w:before="156" w:beforeLines="50" w:line="360" w:lineRule="auto"/>
              <w:ind w:right="480" w:rightChars="200"/>
              <w:rPr>
                <w:rFonts w:hint="default"/>
                <w:spacing w:val="-10"/>
                <w:sz w:val="21"/>
                <w:szCs w:val="21"/>
                <w:lang w:val="en-US" w:eastAsia="zh-CN"/>
              </w:rPr>
            </w:pPr>
          </w:p>
        </w:tc>
      </w:tr>
    </w:tbl>
    <w:p>
      <w:pPr>
        <w:rPr>
          <w:sz w:val="10"/>
          <w:szCs w:val="10"/>
        </w:rPr>
        <w:sectPr>
          <w:type w:val="continuous"/>
          <w:pgSz w:w="11906" w:h="16838"/>
          <w:pgMar w:top="1440" w:right="851" w:bottom="1440" w:left="1418" w:header="850" w:footer="567" w:gutter="0"/>
          <w:pgNumType w:fmt="numberInDash"/>
          <w:cols w:space="425" w:num="1"/>
          <w:docGrid w:type="lines" w:linePitch="312" w:charSpace="0"/>
        </w:sectPr>
      </w:pPr>
    </w:p>
    <w:p>
      <w:pPr>
        <w:spacing w:line="20" w:lineRule="exact"/>
        <w:rPr>
          <w:b/>
          <w:sz w:val="10"/>
          <w:szCs w:val="10"/>
        </w:rPr>
      </w:pPr>
    </w:p>
    <w:sectPr>
      <w:type w:val="continuous"/>
      <w:pgSz w:w="11906" w:h="16838"/>
      <w:pgMar w:top="1440" w:right="851" w:bottom="1440" w:left="1418" w:header="850" w:footer="567"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w:t>
    </w:r>
    <w:r>
      <w:rPr>
        <w:sz w:val="21"/>
        <w:szCs w:val="21"/>
      </w:rPr>
      <w:t xml:space="preserve"> 7 -</w:t>
    </w:r>
    <w:r>
      <w:rPr>
        <w:sz w:val="21"/>
        <w:szCs w:val="21"/>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w:t>
    </w:r>
    <w:r>
      <w:t xml:space="preserve"> 1 -</w: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0"/>
      <w:tblW w:w="9637" w:type="dxa"/>
      <w:tblInd w:w="0" w:type="dxa"/>
      <w:tblBorders>
        <w:top w:val="none" w:color="auto" w:sz="0" w:space="0"/>
        <w:left w:val="none" w:color="auto" w:sz="0" w:space="0"/>
        <w:bottom w:val="single" w:color="auto" w:sz="2"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17"/>
      <w:gridCol w:w="4820"/>
    </w:tblGrid>
    <w:tr>
      <w:tblPrEx>
        <w:tblBorders>
          <w:top w:val="none" w:color="auto" w:sz="0" w:space="0"/>
          <w:left w:val="none" w:color="auto" w:sz="0" w:space="0"/>
          <w:bottom w:val="single" w:color="auto" w:sz="2" w:space="0"/>
          <w:right w:val="none" w:color="auto" w:sz="0" w:space="0"/>
          <w:insideH w:val="none" w:color="auto" w:sz="0" w:space="0"/>
          <w:insideV w:val="none" w:color="auto" w:sz="0" w:space="0"/>
        </w:tblBorders>
        <w:tblCellMar>
          <w:top w:w="0" w:type="dxa"/>
          <w:left w:w="0" w:type="dxa"/>
          <w:bottom w:w="0" w:type="dxa"/>
          <w:right w:w="0" w:type="dxa"/>
        </w:tblCellMar>
      </w:tblPrEx>
      <w:trPr>
        <w:trHeight w:val="851" w:hRule="atLeast"/>
      </w:trPr>
      <w:tc>
        <w:tcPr>
          <w:tcW w:w="4817" w:type="dxa"/>
          <w:vAlign w:val="bottom"/>
        </w:tcPr>
        <w:p>
          <w:pPr>
            <w:spacing w:after="120" w:afterLines="50"/>
          </w:pPr>
          <w:r>
            <w:drawing>
              <wp:inline distT="0" distB="0" distL="0" distR="0">
                <wp:extent cx="1260475" cy="540385"/>
                <wp:effectExtent l="19050" t="0" r="9525" b="0"/>
                <wp:docPr id="13" name="Inline Text Wrapping Picture" descr="Inline Text Wrapping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nline Text Wrapping Picture" descr="Inline Text Wrapping Picture"/>
                        <pic:cNvPicPr>
                          <a:picLocks noChangeAspect="1"/>
                        </pic:cNvPicPr>
                      </pic:nvPicPr>
                      <pic:blipFill>
                        <a:blip r:embed="rId1"/>
                        <a:stretch>
                          <a:fillRect/>
                        </a:stretch>
                      </pic:blipFill>
                      <pic:spPr>
                        <a:xfrm>
                          <a:off x="0" y="0"/>
                          <a:ext cx="1260957" cy="540410"/>
                        </a:xfrm>
                        <a:prstGeom prst="rect">
                          <a:avLst/>
                        </a:prstGeom>
                      </pic:spPr>
                    </pic:pic>
                  </a:graphicData>
                </a:graphic>
              </wp:inline>
            </w:drawing>
          </w:r>
        </w:p>
      </w:tc>
      <w:tc>
        <w:tcPr>
          <w:tcW w:w="4820" w:type="dxa"/>
          <w:vAlign w:val="bottom"/>
        </w:tcPr>
        <w:p>
          <w:pPr>
            <w:jc w:val="right"/>
          </w:pPr>
        </w:p>
        <w:p>
          <w:pPr>
            <w:spacing w:after="120" w:afterLines="50"/>
            <w:jc w:val="right"/>
            <w:rPr>
              <w:sz w:val="18"/>
              <w:szCs w:val="18"/>
            </w:rPr>
          </w:pPr>
          <w:r>
            <w:rPr>
              <w:sz w:val="18"/>
              <w:szCs w:val="18"/>
            </w:rPr>
            <w:t>首都经济贸易大学</w:t>
          </w:r>
          <w:r>
            <w:rPr>
              <w:rFonts w:hint="eastAsia"/>
              <w:sz w:val="18"/>
              <w:szCs w:val="18"/>
            </w:rPr>
            <w:t>硕士研究生学位论文开题报告</w:t>
          </w:r>
        </w:p>
      </w:tc>
    </w:tr>
  </w:tbl>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0"/>
      <w:tblW w:w="9637" w:type="dxa"/>
      <w:jc w:val="center"/>
      <w:tblBorders>
        <w:top w:val="none" w:color="auto" w:sz="0" w:space="0"/>
        <w:left w:val="none" w:color="auto" w:sz="0" w:space="0"/>
        <w:bottom w:val="single" w:color="auto" w:sz="2"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17"/>
      <w:gridCol w:w="4820"/>
    </w:tblGrid>
    <w:tr>
      <w:tblPrEx>
        <w:tblBorders>
          <w:top w:val="none" w:color="auto" w:sz="0" w:space="0"/>
          <w:left w:val="none" w:color="auto" w:sz="0" w:space="0"/>
          <w:bottom w:val="single" w:color="auto" w:sz="2" w:space="0"/>
          <w:right w:val="none" w:color="auto" w:sz="0" w:space="0"/>
          <w:insideH w:val="none" w:color="auto" w:sz="0" w:space="0"/>
          <w:insideV w:val="none" w:color="auto" w:sz="0" w:space="0"/>
        </w:tblBorders>
        <w:tblCellMar>
          <w:top w:w="0" w:type="dxa"/>
          <w:left w:w="0" w:type="dxa"/>
          <w:bottom w:w="0" w:type="dxa"/>
          <w:right w:w="0" w:type="dxa"/>
        </w:tblCellMar>
      </w:tblPrEx>
      <w:trPr>
        <w:trHeight w:val="851" w:hRule="atLeast"/>
        <w:jc w:val="center"/>
      </w:trPr>
      <w:tc>
        <w:tcPr>
          <w:tcW w:w="4817" w:type="dxa"/>
          <w:vAlign w:val="bottom"/>
        </w:tcPr>
        <w:p>
          <w:pPr>
            <w:spacing w:after="120" w:afterLines="50"/>
          </w:pPr>
          <w:r>
            <w:drawing>
              <wp:inline distT="0" distB="0" distL="0" distR="0">
                <wp:extent cx="1260475" cy="540385"/>
                <wp:effectExtent l="19050" t="0" r="9525" b="0"/>
                <wp:docPr id="14" name="Inline Text Wrapping Picture" descr="Inline Text Wrapping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line Text Wrapping Picture" descr="Inline Text Wrapping Picture"/>
                        <pic:cNvPicPr>
                          <a:picLocks noChangeAspect="1"/>
                        </pic:cNvPicPr>
                      </pic:nvPicPr>
                      <pic:blipFill>
                        <a:blip r:embed="rId1"/>
                        <a:stretch>
                          <a:fillRect/>
                        </a:stretch>
                      </pic:blipFill>
                      <pic:spPr>
                        <a:xfrm>
                          <a:off x="0" y="0"/>
                          <a:ext cx="1260957" cy="540410"/>
                        </a:xfrm>
                        <a:prstGeom prst="rect">
                          <a:avLst/>
                        </a:prstGeom>
                      </pic:spPr>
                    </pic:pic>
                  </a:graphicData>
                </a:graphic>
              </wp:inline>
            </w:drawing>
          </w:r>
        </w:p>
      </w:tc>
      <w:tc>
        <w:tcPr>
          <w:tcW w:w="4820" w:type="dxa"/>
          <w:vAlign w:val="bottom"/>
        </w:tcPr>
        <w:p>
          <w:pPr>
            <w:jc w:val="right"/>
          </w:pPr>
        </w:p>
        <w:p>
          <w:pPr>
            <w:spacing w:after="120" w:afterLines="50"/>
            <w:jc w:val="right"/>
            <w:rPr>
              <w:sz w:val="18"/>
              <w:szCs w:val="18"/>
            </w:rPr>
          </w:pPr>
          <w:r>
            <w:rPr>
              <w:sz w:val="18"/>
              <w:szCs w:val="18"/>
            </w:rPr>
            <w:t>首都经济贸易大学</w:t>
          </w:r>
          <w:r>
            <w:rPr>
              <w:rFonts w:hint="eastAsia"/>
              <w:sz w:val="18"/>
              <w:szCs w:val="18"/>
            </w:rPr>
            <w:t>硕士研究生学位论文开题报告</w:t>
          </w:r>
        </w:p>
      </w:tc>
    </w:tr>
  </w:tbl>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7482F3"/>
    <w:multiLevelType w:val="singleLevel"/>
    <w:tmpl w:val="8E7482F3"/>
    <w:lvl w:ilvl="0" w:tentative="0">
      <w:start w:val="2"/>
      <w:numFmt w:val="chineseCounting"/>
      <w:suff w:val="nothing"/>
      <w:lvlText w:val="%1、"/>
      <w:lvlJc w:val="left"/>
      <w:rPr>
        <w:rFonts w:hint="eastAsia"/>
      </w:rPr>
    </w:lvl>
  </w:abstractNum>
  <w:abstractNum w:abstractNumId="1">
    <w:nsid w:val="B51E52BB"/>
    <w:multiLevelType w:val="singleLevel"/>
    <w:tmpl w:val="B51E52BB"/>
    <w:lvl w:ilvl="0" w:tentative="0">
      <w:start w:val="1"/>
      <w:numFmt w:val="decimal"/>
      <w:lvlText w:val="%1."/>
      <w:lvlJc w:val="left"/>
      <w:pPr>
        <w:tabs>
          <w:tab w:val="left" w:pos="312"/>
        </w:tabs>
      </w:pPr>
    </w:lvl>
  </w:abstractNum>
  <w:abstractNum w:abstractNumId="2">
    <w:nsid w:val="DFDBEB79"/>
    <w:multiLevelType w:val="singleLevel"/>
    <w:tmpl w:val="DFDBEB79"/>
    <w:lvl w:ilvl="0" w:tentative="0">
      <w:start w:val="1"/>
      <w:numFmt w:val="decimal"/>
      <w:lvlText w:val="%1."/>
      <w:lvlJc w:val="left"/>
      <w:pPr>
        <w:tabs>
          <w:tab w:val="left" w:pos="312"/>
        </w:tabs>
      </w:pPr>
    </w:lvl>
  </w:abstractNum>
  <w:abstractNum w:abstractNumId="3">
    <w:nsid w:val="230106E5"/>
    <w:multiLevelType w:val="multilevel"/>
    <w:tmpl w:val="230106E5"/>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49762F3"/>
    <w:multiLevelType w:val="multilevel"/>
    <w:tmpl w:val="249762F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EE31D10"/>
    <w:multiLevelType w:val="multilevel"/>
    <w:tmpl w:val="4EE31D1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61B4D3F"/>
    <w:multiLevelType w:val="multilevel"/>
    <w:tmpl w:val="761B4D3F"/>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4"/>
  </w:num>
  <w:num w:numId="3">
    <w:abstractNumId w:val="0"/>
  </w:num>
  <w:num w:numId="4">
    <w:abstractNumId w:val="5"/>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doNotCompress"/>
  <w:noLineBreaksAfter w:lang="zh-CN" w:val="$([{£¥·‘“〈《「『【〔〖〝﹙﹛﹝＄（．［｛￡￥"/>
  <w:noLineBreaksBefore w:lang="zh-CN" w:val="!%),.:;&gt;?]}¢¨°·ˇˉ―‖’”…‰′″›℃∶、。〃〉》」』】〕〗〞︶︺︾﹀﹄﹚﹜﹞！＂％＇），．：；？］｀｜｝～￠"/>
  <w:compat>
    <w:doNotExpandShiftReturn/>
    <w:doNotWrapTextWithPunct/>
    <w:doNotUseEastAsianBreakRules/>
    <w:useFELayout/>
    <w:doNotUseIndentAsNumberingTabStop/>
    <w:useAltKinsokuLineBreakRules/>
    <w:compatSetting w:name="compatibilityMode" w:uri="http://schemas.microsoft.com/office/word" w:val="12"/>
  </w:compat>
  <w:rsids>
    <w:rsidRoot w:val="0088566C"/>
    <w:rsid w:val="00001D27"/>
    <w:rsid w:val="00004BF6"/>
    <w:rsid w:val="000079B2"/>
    <w:rsid w:val="00007DF2"/>
    <w:rsid w:val="00010068"/>
    <w:rsid w:val="000149C3"/>
    <w:rsid w:val="00016310"/>
    <w:rsid w:val="000308C3"/>
    <w:rsid w:val="000332FC"/>
    <w:rsid w:val="00033501"/>
    <w:rsid w:val="00035A38"/>
    <w:rsid w:val="000406DC"/>
    <w:rsid w:val="00040E4E"/>
    <w:rsid w:val="0007193B"/>
    <w:rsid w:val="00080314"/>
    <w:rsid w:val="00091852"/>
    <w:rsid w:val="00094E41"/>
    <w:rsid w:val="000A3BE1"/>
    <w:rsid w:val="000B1A94"/>
    <w:rsid w:val="000B269D"/>
    <w:rsid w:val="000C2FB5"/>
    <w:rsid w:val="000D0958"/>
    <w:rsid w:val="000D2F94"/>
    <w:rsid w:val="000E2C2D"/>
    <w:rsid w:val="000F1A91"/>
    <w:rsid w:val="000F1BAF"/>
    <w:rsid w:val="000F627E"/>
    <w:rsid w:val="000F7E8C"/>
    <w:rsid w:val="00101FAE"/>
    <w:rsid w:val="001109E0"/>
    <w:rsid w:val="0012084F"/>
    <w:rsid w:val="0012384D"/>
    <w:rsid w:val="00127C83"/>
    <w:rsid w:val="0013036A"/>
    <w:rsid w:val="001318B7"/>
    <w:rsid w:val="001337F0"/>
    <w:rsid w:val="00144CB6"/>
    <w:rsid w:val="001515BF"/>
    <w:rsid w:val="001661AA"/>
    <w:rsid w:val="00170FD5"/>
    <w:rsid w:val="00172036"/>
    <w:rsid w:val="00173C91"/>
    <w:rsid w:val="00175F11"/>
    <w:rsid w:val="00187DED"/>
    <w:rsid w:val="001A183B"/>
    <w:rsid w:val="001A786B"/>
    <w:rsid w:val="001A7D58"/>
    <w:rsid w:val="001B3A8E"/>
    <w:rsid w:val="001C2DAC"/>
    <w:rsid w:val="001C47E7"/>
    <w:rsid w:val="001C4BBC"/>
    <w:rsid w:val="001D3B38"/>
    <w:rsid w:val="001E1AB7"/>
    <w:rsid w:val="001F70F8"/>
    <w:rsid w:val="002038DC"/>
    <w:rsid w:val="00203934"/>
    <w:rsid w:val="002078C4"/>
    <w:rsid w:val="00212910"/>
    <w:rsid w:val="00215E97"/>
    <w:rsid w:val="002219E7"/>
    <w:rsid w:val="00222888"/>
    <w:rsid w:val="002277B6"/>
    <w:rsid w:val="002342EF"/>
    <w:rsid w:val="00234BE2"/>
    <w:rsid w:val="00245608"/>
    <w:rsid w:val="00250057"/>
    <w:rsid w:val="00252A2A"/>
    <w:rsid w:val="0025689E"/>
    <w:rsid w:val="00257A35"/>
    <w:rsid w:val="00260B42"/>
    <w:rsid w:val="00270867"/>
    <w:rsid w:val="002772FE"/>
    <w:rsid w:val="002857BE"/>
    <w:rsid w:val="00286FF3"/>
    <w:rsid w:val="002A15DC"/>
    <w:rsid w:val="002A603E"/>
    <w:rsid w:val="002A6CA5"/>
    <w:rsid w:val="002B001B"/>
    <w:rsid w:val="002C1C25"/>
    <w:rsid w:val="002C54EC"/>
    <w:rsid w:val="002C577A"/>
    <w:rsid w:val="002C63A0"/>
    <w:rsid w:val="002E07DF"/>
    <w:rsid w:val="002E18F6"/>
    <w:rsid w:val="002E1CAD"/>
    <w:rsid w:val="002E4689"/>
    <w:rsid w:val="002F5590"/>
    <w:rsid w:val="002F5FEC"/>
    <w:rsid w:val="00300896"/>
    <w:rsid w:val="003025AB"/>
    <w:rsid w:val="00311411"/>
    <w:rsid w:val="00311FA6"/>
    <w:rsid w:val="0031683C"/>
    <w:rsid w:val="0033045E"/>
    <w:rsid w:val="0033081F"/>
    <w:rsid w:val="00343566"/>
    <w:rsid w:val="00343DCB"/>
    <w:rsid w:val="00344D95"/>
    <w:rsid w:val="00347855"/>
    <w:rsid w:val="0037490E"/>
    <w:rsid w:val="00384C3D"/>
    <w:rsid w:val="003930B9"/>
    <w:rsid w:val="003B0734"/>
    <w:rsid w:val="003B7D91"/>
    <w:rsid w:val="003C0CB0"/>
    <w:rsid w:val="003C2C0A"/>
    <w:rsid w:val="003C318C"/>
    <w:rsid w:val="003D04EA"/>
    <w:rsid w:val="003D1C36"/>
    <w:rsid w:val="003D20CF"/>
    <w:rsid w:val="003E1BAB"/>
    <w:rsid w:val="003E4035"/>
    <w:rsid w:val="003F4308"/>
    <w:rsid w:val="0040073C"/>
    <w:rsid w:val="004104CA"/>
    <w:rsid w:val="00411613"/>
    <w:rsid w:val="004116F5"/>
    <w:rsid w:val="00416FD4"/>
    <w:rsid w:val="004177A7"/>
    <w:rsid w:val="00431A1D"/>
    <w:rsid w:val="00434726"/>
    <w:rsid w:val="00437D1E"/>
    <w:rsid w:val="00442DE4"/>
    <w:rsid w:val="00444CB5"/>
    <w:rsid w:val="0044658A"/>
    <w:rsid w:val="004467D0"/>
    <w:rsid w:val="0047079C"/>
    <w:rsid w:val="00475B74"/>
    <w:rsid w:val="0048581A"/>
    <w:rsid w:val="004879F7"/>
    <w:rsid w:val="00494DBB"/>
    <w:rsid w:val="004A0434"/>
    <w:rsid w:val="004A57AD"/>
    <w:rsid w:val="004D0CCD"/>
    <w:rsid w:val="004D165E"/>
    <w:rsid w:val="004E068D"/>
    <w:rsid w:val="004E1F69"/>
    <w:rsid w:val="004E35DF"/>
    <w:rsid w:val="004E6BFD"/>
    <w:rsid w:val="004F2A21"/>
    <w:rsid w:val="004F488F"/>
    <w:rsid w:val="004F7F02"/>
    <w:rsid w:val="00505425"/>
    <w:rsid w:val="00505F6D"/>
    <w:rsid w:val="00512E3B"/>
    <w:rsid w:val="00515001"/>
    <w:rsid w:val="00515085"/>
    <w:rsid w:val="0052120E"/>
    <w:rsid w:val="00530B2F"/>
    <w:rsid w:val="00536939"/>
    <w:rsid w:val="0054492D"/>
    <w:rsid w:val="005517CB"/>
    <w:rsid w:val="00580F4D"/>
    <w:rsid w:val="00581142"/>
    <w:rsid w:val="0058435F"/>
    <w:rsid w:val="005911AA"/>
    <w:rsid w:val="0059205B"/>
    <w:rsid w:val="005A2392"/>
    <w:rsid w:val="005B25E2"/>
    <w:rsid w:val="005B4D4A"/>
    <w:rsid w:val="005C1465"/>
    <w:rsid w:val="005C1707"/>
    <w:rsid w:val="005D0157"/>
    <w:rsid w:val="005D251D"/>
    <w:rsid w:val="005D60F5"/>
    <w:rsid w:val="005E3B87"/>
    <w:rsid w:val="005E64C0"/>
    <w:rsid w:val="00603B7A"/>
    <w:rsid w:val="0060755F"/>
    <w:rsid w:val="00611275"/>
    <w:rsid w:val="00611BE5"/>
    <w:rsid w:val="00621190"/>
    <w:rsid w:val="00627C8D"/>
    <w:rsid w:val="00631B0E"/>
    <w:rsid w:val="006338F6"/>
    <w:rsid w:val="00635007"/>
    <w:rsid w:val="006408DE"/>
    <w:rsid w:val="0064443A"/>
    <w:rsid w:val="00650CB9"/>
    <w:rsid w:val="00663253"/>
    <w:rsid w:val="00672BBD"/>
    <w:rsid w:val="00683765"/>
    <w:rsid w:val="006902A4"/>
    <w:rsid w:val="00695DA0"/>
    <w:rsid w:val="00695FF2"/>
    <w:rsid w:val="006B2356"/>
    <w:rsid w:val="006B3429"/>
    <w:rsid w:val="006B61C7"/>
    <w:rsid w:val="006C5ECF"/>
    <w:rsid w:val="006D08EA"/>
    <w:rsid w:val="006D2AC7"/>
    <w:rsid w:val="006E1399"/>
    <w:rsid w:val="00700448"/>
    <w:rsid w:val="00700F3C"/>
    <w:rsid w:val="007040C6"/>
    <w:rsid w:val="00705852"/>
    <w:rsid w:val="00710E7B"/>
    <w:rsid w:val="00713C08"/>
    <w:rsid w:val="00714D3A"/>
    <w:rsid w:val="00716A8F"/>
    <w:rsid w:val="007170B6"/>
    <w:rsid w:val="00717AA9"/>
    <w:rsid w:val="00717DC7"/>
    <w:rsid w:val="007223D0"/>
    <w:rsid w:val="00731311"/>
    <w:rsid w:val="00736C1D"/>
    <w:rsid w:val="007401AC"/>
    <w:rsid w:val="00746508"/>
    <w:rsid w:val="00751717"/>
    <w:rsid w:val="00752F22"/>
    <w:rsid w:val="007575E3"/>
    <w:rsid w:val="00765FFA"/>
    <w:rsid w:val="00770A21"/>
    <w:rsid w:val="0077428F"/>
    <w:rsid w:val="00790022"/>
    <w:rsid w:val="0079673C"/>
    <w:rsid w:val="0079685A"/>
    <w:rsid w:val="007B00B1"/>
    <w:rsid w:val="007C0544"/>
    <w:rsid w:val="007C7743"/>
    <w:rsid w:val="007D0AB0"/>
    <w:rsid w:val="007D1A5C"/>
    <w:rsid w:val="007D6B8A"/>
    <w:rsid w:val="007D70B3"/>
    <w:rsid w:val="007E6B2A"/>
    <w:rsid w:val="007F5CE9"/>
    <w:rsid w:val="00804232"/>
    <w:rsid w:val="00806746"/>
    <w:rsid w:val="0081338C"/>
    <w:rsid w:val="00814F2E"/>
    <w:rsid w:val="00816335"/>
    <w:rsid w:val="00825E51"/>
    <w:rsid w:val="00836EC7"/>
    <w:rsid w:val="0084149B"/>
    <w:rsid w:val="008557BA"/>
    <w:rsid w:val="00861F2D"/>
    <w:rsid w:val="00867DA2"/>
    <w:rsid w:val="00883A4B"/>
    <w:rsid w:val="0088566C"/>
    <w:rsid w:val="00886D5F"/>
    <w:rsid w:val="00894B49"/>
    <w:rsid w:val="00896711"/>
    <w:rsid w:val="008A069E"/>
    <w:rsid w:val="008A29BA"/>
    <w:rsid w:val="008A6D27"/>
    <w:rsid w:val="008C1602"/>
    <w:rsid w:val="008C2985"/>
    <w:rsid w:val="008D2A66"/>
    <w:rsid w:val="008D6B31"/>
    <w:rsid w:val="008E45E1"/>
    <w:rsid w:val="008E54AD"/>
    <w:rsid w:val="008E7444"/>
    <w:rsid w:val="008F0C63"/>
    <w:rsid w:val="008F4699"/>
    <w:rsid w:val="008F5A50"/>
    <w:rsid w:val="008F7F4D"/>
    <w:rsid w:val="0091607A"/>
    <w:rsid w:val="009208A9"/>
    <w:rsid w:val="00921735"/>
    <w:rsid w:val="00924852"/>
    <w:rsid w:val="00925A25"/>
    <w:rsid w:val="0093005F"/>
    <w:rsid w:val="00931A76"/>
    <w:rsid w:val="00940CFC"/>
    <w:rsid w:val="00941FEE"/>
    <w:rsid w:val="009532C3"/>
    <w:rsid w:val="00960FB6"/>
    <w:rsid w:val="00974A4A"/>
    <w:rsid w:val="00977F9D"/>
    <w:rsid w:val="00981A16"/>
    <w:rsid w:val="009969E1"/>
    <w:rsid w:val="00996FCE"/>
    <w:rsid w:val="009A29C7"/>
    <w:rsid w:val="009A655D"/>
    <w:rsid w:val="009A712D"/>
    <w:rsid w:val="009B2665"/>
    <w:rsid w:val="009B7ACA"/>
    <w:rsid w:val="009C1633"/>
    <w:rsid w:val="009C4CB5"/>
    <w:rsid w:val="009C5014"/>
    <w:rsid w:val="009C5DD3"/>
    <w:rsid w:val="009D0D1F"/>
    <w:rsid w:val="009D78BA"/>
    <w:rsid w:val="009E4AA8"/>
    <w:rsid w:val="009E5E4B"/>
    <w:rsid w:val="009F3801"/>
    <w:rsid w:val="009F39E5"/>
    <w:rsid w:val="009F3A29"/>
    <w:rsid w:val="009F53E7"/>
    <w:rsid w:val="00A113E3"/>
    <w:rsid w:val="00A20D26"/>
    <w:rsid w:val="00A234C2"/>
    <w:rsid w:val="00A2761F"/>
    <w:rsid w:val="00A4375E"/>
    <w:rsid w:val="00A500C1"/>
    <w:rsid w:val="00A556F6"/>
    <w:rsid w:val="00A55873"/>
    <w:rsid w:val="00A639E5"/>
    <w:rsid w:val="00A63BB4"/>
    <w:rsid w:val="00A71A90"/>
    <w:rsid w:val="00A72374"/>
    <w:rsid w:val="00A7579F"/>
    <w:rsid w:val="00A92A0F"/>
    <w:rsid w:val="00A969AD"/>
    <w:rsid w:val="00AA6694"/>
    <w:rsid w:val="00AB2AA5"/>
    <w:rsid w:val="00AC32CD"/>
    <w:rsid w:val="00AD1B73"/>
    <w:rsid w:val="00AD1BCB"/>
    <w:rsid w:val="00AD55E9"/>
    <w:rsid w:val="00B017B0"/>
    <w:rsid w:val="00B02AE1"/>
    <w:rsid w:val="00B05D69"/>
    <w:rsid w:val="00B05F49"/>
    <w:rsid w:val="00B12AF8"/>
    <w:rsid w:val="00B16B2E"/>
    <w:rsid w:val="00B2226D"/>
    <w:rsid w:val="00B26647"/>
    <w:rsid w:val="00B4765F"/>
    <w:rsid w:val="00B50AC8"/>
    <w:rsid w:val="00B51116"/>
    <w:rsid w:val="00B65360"/>
    <w:rsid w:val="00B675AB"/>
    <w:rsid w:val="00B67A87"/>
    <w:rsid w:val="00B76606"/>
    <w:rsid w:val="00B803F0"/>
    <w:rsid w:val="00B84E47"/>
    <w:rsid w:val="00B861EC"/>
    <w:rsid w:val="00B96D7B"/>
    <w:rsid w:val="00BA06FF"/>
    <w:rsid w:val="00BA48C3"/>
    <w:rsid w:val="00BB2D0B"/>
    <w:rsid w:val="00BC0061"/>
    <w:rsid w:val="00BC058E"/>
    <w:rsid w:val="00BC206D"/>
    <w:rsid w:val="00BD1B37"/>
    <w:rsid w:val="00BD5C75"/>
    <w:rsid w:val="00BD6D12"/>
    <w:rsid w:val="00BE350A"/>
    <w:rsid w:val="00BE39FC"/>
    <w:rsid w:val="00BE7C9B"/>
    <w:rsid w:val="00BF1B8D"/>
    <w:rsid w:val="00C00064"/>
    <w:rsid w:val="00C017A1"/>
    <w:rsid w:val="00C13CB1"/>
    <w:rsid w:val="00C21762"/>
    <w:rsid w:val="00C22EBB"/>
    <w:rsid w:val="00C274EF"/>
    <w:rsid w:val="00C30F6D"/>
    <w:rsid w:val="00C32CAC"/>
    <w:rsid w:val="00C43BBA"/>
    <w:rsid w:val="00C4449A"/>
    <w:rsid w:val="00C45EAC"/>
    <w:rsid w:val="00C46A44"/>
    <w:rsid w:val="00C51C64"/>
    <w:rsid w:val="00C51FDA"/>
    <w:rsid w:val="00C65C95"/>
    <w:rsid w:val="00CA02D4"/>
    <w:rsid w:val="00CA13CC"/>
    <w:rsid w:val="00CB5B50"/>
    <w:rsid w:val="00CB7148"/>
    <w:rsid w:val="00CD4F1B"/>
    <w:rsid w:val="00CE062D"/>
    <w:rsid w:val="00CE3E15"/>
    <w:rsid w:val="00CE79F6"/>
    <w:rsid w:val="00CF64EC"/>
    <w:rsid w:val="00D00999"/>
    <w:rsid w:val="00D14C4B"/>
    <w:rsid w:val="00D15520"/>
    <w:rsid w:val="00D24FE8"/>
    <w:rsid w:val="00D268A8"/>
    <w:rsid w:val="00D35A43"/>
    <w:rsid w:val="00D413C0"/>
    <w:rsid w:val="00D43F3E"/>
    <w:rsid w:val="00D50B1B"/>
    <w:rsid w:val="00D52A43"/>
    <w:rsid w:val="00D53280"/>
    <w:rsid w:val="00D64064"/>
    <w:rsid w:val="00D662CE"/>
    <w:rsid w:val="00D67A96"/>
    <w:rsid w:val="00D77887"/>
    <w:rsid w:val="00D827E0"/>
    <w:rsid w:val="00D84606"/>
    <w:rsid w:val="00D90124"/>
    <w:rsid w:val="00DA37EF"/>
    <w:rsid w:val="00DB0019"/>
    <w:rsid w:val="00DB2BC1"/>
    <w:rsid w:val="00DC3A62"/>
    <w:rsid w:val="00DC5E06"/>
    <w:rsid w:val="00DD26F8"/>
    <w:rsid w:val="00DD5900"/>
    <w:rsid w:val="00DD68F0"/>
    <w:rsid w:val="00DF0479"/>
    <w:rsid w:val="00DF216C"/>
    <w:rsid w:val="00DF4E0B"/>
    <w:rsid w:val="00E0206C"/>
    <w:rsid w:val="00E144C7"/>
    <w:rsid w:val="00E16D05"/>
    <w:rsid w:val="00E1766F"/>
    <w:rsid w:val="00E21D2E"/>
    <w:rsid w:val="00E235D6"/>
    <w:rsid w:val="00E26B40"/>
    <w:rsid w:val="00E37CD8"/>
    <w:rsid w:val="00E43523"/>
    <w:rsid w:val="00E522DE"/>
    <w:rsid w:val="00E57C21"/>
    <w:rsid w:val="00E662B7"/>
    <w:rsid w:val="00E82908"/>
    <w:rsid w:val="00E86851"/>
    <w:rsid w:val="00E87BCE"/>
    <w:rsid w:val="00E90F0A"/>
    <w:rsid w:val="00E93606"/>
    <w:rsid w:val="00E96CAC"/>
    <w:rsid w:val="00EA1217"/>
    <w:rsid w:val="00EA1F03"/>
    <w:rsid w:val="00EA28D5"/>
    <w:rsid w:val="00EB1D7A"/>
    <w:rsid w:val="00EB257E"/>
    <w:rsid w:val="00EB2C15"/>
    <w:rsid w:val="00EE79AE"/>
    <w:rsid w:val="00EE7D4D"/>
    <w:rsid w:val="00EF3DAE"/>
    <w:rsid w:val="00EF4D77"/>
    <w:rsid w:val="00EF4DA9"/>
    <w:rsid w:val="00EF7477"/>
    <w:rsid w:val="00F00708"/>
    <w:rsid w:val="00F00A9C"/>
    <w:rsid w:val="00F14221"/>
    <w:rsid w:val="00F20863"/>
    <w:rsid w:val="00F246D2"/>
    <w:rsid w:val="00F32095"/>
    <w:rsid w:val="00F4151B"/>
    <w:rsid w:val="00F47867"/>
    <w:rsid w:val="00F47C05"/>
    <w:rsid w:val="00F620E3"/>
    <w:rsid w:val="00F676F7"/>
    <w:rsid w:val="00F715B1"/>
    <w:rsid w:val="00F72EBA"/>
    <w:rsid w:val="00F87AE8"/>
    <w:rsid w:val="00F94207"/>
    <w:rsid w:val="00F96F7A"/>
    <w:rsid w:val="00FA1FD5"/>
    <w:rsid w:val="00FA6DD1"/>
    <w:rsid w:val="00FA723A"/>
    <w:rsid w:val="00FB56B0"/>
    <w:rsid w:val="00FC0378"/>
    <w:rsid w:val="00FC2685"/>
    <w:rsid w:val="00FC5118"/>
    <w:rsid w:val="00FD12F4"/>
    <w:rsid w:val="00FD26F7"/>
    <w:rsid w:val="00FD4A30"/>
    <w:rsid w:val="00FD4B4B"/>
    <w:rsid w:val="00FE138F"/>
    <w:rsid w:val="00FE1B2F"/>
    <w:rsid w:val="00FE7AEB"/>
    <w:rsid w:val="00FF033D"/>
    <w:rsid w:val="00FF05A9"/>
    <w:rsid w:val="00FF0E80"/>
    <w:rsid w:val="00FF30DC"/>
    <w:rsid w:val="00FF4779"/>
    <w:rsid w:val="00FF630D"/>
    <w:rsid w:val="00FF7DF5"/>
    <w:rsid w:val="02D60003"/>
    <w:rsid w:val="031755E3"/>
    <w:rsid w:val="05C4177B"/>
    <w:rsid w:val="08082767"/>
    <w:rsid w:val="0F467661"/>
    <w:rsid w:val="10D04D31"/>
    <w:rsid w:val="15B5178F"/>
    <w:rsid w:val="202C39B6"/>
    <w:rsid w:val="20DC3082"/>
    <w:rsid w:val="27BA5338"/>
    <w:rsid w:val="294C0C18"/>
    <w:rsid w:val="2B8C0EC7"/>
    <w:rsid w:val="2C2022F6"/>
    <w:rsid w:val="2E71744D"/>
    <w:rsid w:val="2F2D551A"/>
    <w:rsid w:val="31E62151"/>
    <w:rsid w:val="35C50ED0"/>
    <w:rsid w:val="38266979"/>
    <w:rsid w:val="396A00EE"/>
    <w:rsid w:val="3E005EDF"/>
    <w:rsid w:val="3E4A5F77"/>
    <w:rsid w:val="3FA513A9"/>
    <w:rsid w:val="4125147F"/>
    <w:rsid w:val="41C24C85"/>
    <w:rsid w:val="435B7269"/>
    <w:rsid w:val="48E17577"/>
    <w:rsid w:val="50F460B8"/>
    <w:rsid w:val="5207143A"/>
    <w:rsid w:val="52222C71"/>
    <w:rsid w:val="54317A53"/>
    <w:rsid w:val="56420176"/>
    <w:rsid w:val="575462BA"/>
    <w:rsid w:val="5BE36F38"/>
    <w:rsid w:val="5D0C2614"/>
    <w:rsid w:val="6167048B"/>
    <w:rsid w:val="619C7450"/>
    <w:rsid w:val="64354B4C"/>
    <w:rsid w:val="688F06EC"/>
    <w:rsid w:val="6C922743"/>
    <w:rsid w:val="6CEB6247"/>
    <w:rsid w:val="6F49279A"/>
    <w:rsid w:val="72751EB0"/>
    <w:rsid w:val="727D3957"/>
    <w:rsid w:val="72E924CB"/>
    <w:rsid w:val="731F1C6C"/>
    <w:rsid w:val="76A03780"/>
    <w:rsid w:val="78BD6BD5"/>
    <w:rsid w:val="79195813"/>
    <w:rsid w:val="7D9309C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6"/>
        <o:r id="V:Rule2" type="connector" idref="#自选图形 18"/>
        <o:r id="V:Rule3" type="connector" idref="#自选图形 16"/>
        <o:r id="V:Rule4" type="connector" idref="#自选图形 10"/>
        <o:r id="V:Rule5" type="connector" idref="#自选图形 7"/>
        <o:r id="V:Rule6" type="connector" idref="#自选图形 6"/>
        <o:r id="V:Rule7" type="connector" idref="#自选图形 5"/>
        <o:r id="V:Rule8" type="connector" idref="#自选图形 4"/>
        <o:r id="V:Rule9" type="connector" idref="#自选图形 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3"/>
    <w:basedOn w:val="1"/>
    <w:next w:val="1"/>
    <w:unhideWhenUsed/>
    <w:qFormat/>
    <w:uiPriority w:val="0"/>
    <w:pPr>
      <w:keepNext/>
      <w:keepLines/>
      <w:spacing w:line="400" w:lineRule="exact"/>
      <w:outlineLvl w:val="2"/>
    </w:pPr>
    <w:rPr>
      <w:rFonts w:ascii="Times New Roman" w:hAnsi="Times New Roman"/>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style>
  <w:style w:type="paragraph" w:styleId="4">
    <w:name w:val="Balloon Text"/>
    <w:basedOn w:val="1"/>
    <w:link w:val="17"/>
    <w:semiHidden/>
    <w:unhideWhenUsed/>
    <w:qFormat/>
    <w:uiPriority w:val="99"/>
    <w:rPr>
      <w:sz w:val="18"/>
      <w:szCs w:val="18"/>
    </w:rPr>
  </w:style>
  <w:style w:type="paragraph" w:styleId="5">
    <w:name w:val="footer"/>
    <w:basedOn w:val="1"/>
    <w:link w:val="16"/>
    <w:semiHidden/>
    <w:unhideWhenUsed/>
    <w:qFormat/>
    <w:uiPriority w:val="99"/>
    <w:pPr>
      <w:tabs>
        <w:tab w:val="center" w:pos="4153"/>
        <w:tab w:val="right" w:pos="8306"/>
      </w:tabs>
      <w:snapToGrid w:val="0"/>
    </w:pPr>
    <w:rPr>
      <w:sz w:val="18"/>
      <w:szCs w:val="18"/>
    </w:rPr>
  </w:style>
  <w:style w:type="paragraph" w:styleId="6">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2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8">
    <w:name w:val="Normal (Web)"/>
    <w:basedOn w:val="1"/>
    <w:unhideWhenUsed/>
    <w:qFormat/>
    <w:uiPriority w:val="99"/>
    <w:pPr>
      <w:spacing w:before="100" w:beforeAutospacing="1" w:after="100" w:afterAutospacing="1"/>
    </w:p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semiHidden/>
    <w:unhideWhenUsed/>
    <w:qFormat/>
    <w:uiPriority w:val="99"/>
    <w:rPr>
      <w:color w:val="0000FF"/>
      <w:u w:val="single"/>
    </w:rPr>
  </w:style>
  <w:style w:type="character" w:styleId="14">
    <w:name w:val="annotation reference"/>
    <w:semiHidden/>
    <w:unhideWhenUsed/>
    <w:qFormat/>
    <w:uiPriority w:val="99"/>
    <w:rPr>
      <w:sz w:val="21"/>
      <w:szCs w:val="21"/>
    </w:rPr>
  </w:style>
  <w:style w:type="character" w:customStyle="1" w:styleId="15">
    <w:name w:val="页眉 字符"/>
    <w:link w:val="6"/>
    <w:qFormat/>
    <w:locked/>
    <w:uiPriority w:val="99"/>
    <w:rPr>
      <w:sz w:val="18"/>
    </w:rPr>
  </w:style>
  <w:style w:type="character" w:customStyle="1" w:styleId="16">
    <w:name w:val="页脚 字符"/>
    <w:link w:val="5"/>
    <w:qFormat/>
    <w:locked/>
    <w:uiPriority w:val="99"/>
    <w:rPr>
      <w:sz w:val="18"/>
    </w:rPr>
  </w:style>
  <w:style w:type="character" w:customStyle="1" w:styleId="17">
    <w:name w:val="批注框文本 字符"/>
    <w:link w:val="4"/>
    <w:semiHidden/>
    <w:qFormat/>
    <w:locked/>
    <w:uiPriority w:val="99"/>
    <w:rPr>
      <w:sz w:val="18"/>
    </w:rPr>
  </w:style>
  <w:style w:type="table" w:customStyle="1" w:styleId="18">
    <w:name w:val="网格型1"/>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批注文字 字符"/>
    <w:link w:val="3"/>
    <w:semiHidden/>
    <w:qFormat/>
    <w:uiPriority w:val="99"/>
    <w:rPr>
      <w:kern w:val="2"/>
      <w:sz w:val="21"/>
      <w:szCs w:val="22"/>
    </w:rPr>
  </w:style>
  <w:style w:type="character" w:customStyle="1" w:styleId="20">
    <w:name w:val="批注主题 字符"/>
    <w:link w:val="9"/>
    <w:semiHidden/>
    <w:qFormat/>
    <w:uiPriority w:val="99"/>
    <w:rPr>
      <w:b/>
      <w:bCs/>
      <w:kern w:val="2"/>
      <w:sz w:val="21"/>
      <w:szCs w:val="22"/>
    </w:rPr>
  </w:style>
  <w:style w:type="paragraph" w:styleId="21">
    <w:name w:val="List Paragraph"/>
    <w:basedOn w:val="1"/>
    <w:qFormat/>
    <w:uiPriority w:val="99"/>
    <w:pPr>
      <w:adjustRightInd w:val="0"/>
      <w:snapToGrid w:val="0"/>
      <w:spacing w:after="200"/>
      <w:ind w:firstLine="420" w:firstLineChars="200"/>
    </w:pPr>
    <w:rPr>
      <w:rFonts w:ascii="Tahoma" w:hAnsi="Tahoma" w:eastAsia="微软雅黑" w:cs="Tahoma"/>
      <w:sz w:val="22"/>
    </w:rPr>
  </w:style>
  <w:style w:type="character" w:customStyle="1" w:styleId="22">
    <w:name w:val="high-light-bg4"/>
    <w:basedOn w:val="12"/>
    <w:qFormat/>
    <w:uiPriority w:val="0"/>
  </w:style>
  <w:style w:type="character" w:customStyle="1" w:styleId="23">
    <w:name w:val="ordinary-span-edit2"/>
    <w:basedOn w:val="12"/>
    <w:qFormat/>
    <w:uiPriority w:val="0"/>
  </w:style>
  <w:style w:type="character" w:customStyle="1" w:styleId="24">
    <w:name w:val="HTML 预设格式 字符"/>
    <w:basedOn w:val="12"/>
    <w:link w:val="7"/>
    <w:qFormat/>
    <w:uiPriority w:val="99"/>
    <w:rPr>
      <w:rFonts w:ascii="宋体" w:hAnsi="宋体" w:eastAsia="宋体" w:cs="宋体"/>
      <w:sz w:val="24"/>
      <w:szCs w:val="24"/>
    </w:rPr>
  </w:style>
  <w:style w:type="character" w:customStyle="1" w:styleId="25">
    <w:name w:val="apple-converted-space"/>
    <w:basedOn w:val="12"/>
    <w:qFormat/>
    <w:uiPriority w:val="0"/>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097B1C-70EB-4762-AE5C-60E8F092445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128</Words>
  <Characters>734</Characters>
  <Lines>6</Lines>
  <Paragraphs>1</Paragraphs>
  <TotalTime>1</TotalTime>
  <ScaleCrop>false</ScaleCrop>
  <LinksUpToDate>false</LinksUpToDate>
  <CharactersWithSpaces>861</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2019-05-21T11:40:00Z</dcterms:created>
  <dc:creator>Windows 用户</dc:creator>
  <cp:lastModifiedBy>欠揍的小孩</cp:lastModifiedBy>
  <dcterms:modified xsi:type="dcterms:W3CDTF">2021-04-23T09:24:57Z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